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3DF" w:rsidRPr="008313DF" w:rsidRDefault="008313DF" w:rsidP="004D4ED2">
      <w:pPr>
        <w:autoSpaceDE w:val="0"/>
        <w:autoSpaceDN w:val="0"/>
        <w:adjustRightInd w:val="0"/>
        <w:spacing w:after="0" w:line="240" w:lineRule="auto"/>
        <w:jc w:val="both"/>
        <w:rPr>
          <w:rFonts w:ascii="Garamond" w:hAnsi="Garamond" w:cs="PerpetuaStd-Italic"/>
          <w:b/>
          <w:iCs/>
          <w:sz w:val="28"/>
          <w:szCs w:val="28"/>
        </w:rPr>
      </w:pPr>
      <w:r w:rsidRPr="008313DF">
        <w:rPr>
          <w:rFonts w:ascii="Garamond" w:hAnsi="Garamond" w:cs="SimonciniGaramondStd"/>
          <w:b/>
          <w:sz w:val="28"/>
          <w:szCs w:val="28"/>
        </w:rPr>
        <w:t>Spagna e Italia: una costante osmosi culturale</w:t>
      </w:r>
    </w:p>
    <w:p w:rsidR="008313DF" w:rsidRPr="008313DF" w:rsidRDefault="008313DF" w:rsidP="004D4ED2">
      <w:pPr>
        <w:autoSpaceDE w:val="0"/>
        <w:autoSpaceDN w:val="0"/>
        <w:adjustRightInd w:val="0"/>
        <w:spacing w:after="0" w:line="240" w:lineRule="auto"/>
        <w:jc w:val="both"/>
        <w:rPr>
          <w:rFonts w:ascii="Garamond" w:hAnsi="Garamond" w:cs="PerpetuaStd-Italic"/>
          <w:iCs/>
          <w:sz w:val="24"/>
          <w:szCs w:val="24"/>
        </w:rPr>
      </w:pPr>
    </w:p>
    <w:p w:rsidR="008313DF" w:rsidRPr="008313DF" w:rsidRDefault="008313DF" w:rsidP="004D4ED2">
      <w:pPr>
        <w:autoSpaceDE w:val="0"/>
        <w:autoSpaceDN w:val="0"/>
        <w:adjustRightInd w:val="0"/>
        <w:spacing w:after="0" w:line="240" w:lineRule="auto"/>
        <w:jc w:val="both"/>
        <w:rPr>
          <w:rFonts w:ascii="Garamond" w:hAnsi="Garamond" w:cs="PerpetuaStd-Italic"/>
          <w:iCs/>
          <w:sz w:val="24"/>
          <w:szCs w:val="24"/>
        </w:rPr>
      </w:pPr>
      <w:r w:rsidRPr="008313DF">
        <w:rPr>
          <w:rFonts w:ascii="Garamond" w:hAnsi="Garamond" w:cs="PerpetuaStd-Italic"/>
          <w:iCs/>
          <w:sz w:val="24"/>
          <w:szCs w:val="24"/>
        </w:rPr>
        <w:t>Eike D. Schmidt</w:t>
      </w:r>
    </w:p>
    <w:p w:rsidR="008313DF" w:rsidRPr="008313DF" w:rsidRDefault="008313DF" w:rsidP="004D4ED2">
      <w:pPr>
        <w:autoSpaceDE w:val="0"/>
        <w:autoSpaceDN w:val="0"/>
        <w:adjustRightInd w:val="0"/>
        <w:spacing w:after="0" w:line="240" w:lineRule="auto"/>
        <w:jc w:val="both"/>
        <w:rPr>
          <w:rFonts w:ascii="Garamond" w:hAnsi="Garamond" w:cs="PerpetuaStd"/>
          <w:i/>
          <w:sz w:val="24"/>
          <w:szCs w:val="24"/>
        </w:rPr>
      </w:pPr>
      <w:r w:rsidRPr="008313DF">
        <w:rPr>
          <w:rFonts w:ascii="Garamond" w:hAnsi="Garamond" w:cs="PerpetuaStd-Italic"/>
          <w:i/>
          <w:iCs/>
          <w:sz w:val="24"/>
          <w:szCs w:val="24"/>
        </w:rPr>
        <w:t>Direttore delle Gallerie degli Uffizi</w:t>
      </w:r>
    </w:p>
    <w:p w:rsidR="008313DF" w:rsidRPr="008313DF" w:rsidRDefault="008313DF" w:rsidP="004D4ED2">
      <w:pPr>
        <w:autoSpaceDE w:val="0"/>
        <w:autoSpaceDN w:val="0"/>
        <w:adjustRightInd w:val="0"/>
        <w:spacing w:after="0" w:line="240" w:lineRule="auto"/>
        <w:jc w:val="both"/>
        <w:rPr>
          <w:rFonts w:ascii="Garamond" w:hAnsi="Garamond" w:cs="PerpetuaStd"/>
          <w:sz w:val="24"/>
          <w:szCs w:val="24"/>
        </w:rPr>
      </w:pPr>
    </w:p>
    <w:p w:rsidR="004D4ED2" w:rsidRPr="008313DF" w:rsidRDefault="004D4ED2" w:rsidP="004D4ED2">
      <w:pPr>
        <w:autoSpaceDE w:val="0"/>
        <w:autoSpaceDN w:val="0"/>
        <w:adjustRightInd w:val="0"/>
        <w:spacing w:after="0" w:line="240" w:lineRule="auto"/>
        <w:jc w:val="both"/>
        <w:rPr>
          <w:rFonts w:ascii="Garamond" w:hAnsi="Garamond" w:cs="PerpetuaStd"/>
          <w:sz w:val="24"/>
          <w:szCs w:val="24"/>
        </w:rPr>
      </w:pPr>
      <w:r w:rsidRPr="008313DF">
        <w:rPr>
          <w:rFonts w:ascii="Garamond" w:hAnsi="Garamond" w:cs="PerpetuaStd"/>
          <w:sz w:val="24"/>
          <w:szCs w:val="24"/>
        </w:rPr>
        <w:t xml:space="preserve">Due anni fa, presso la </w:t>
      </w:r>
      <w:proofErr w:type="spellStart"/>
      <w:r w:rsidRPr="008313DF">
        <w:rPr>
          <w:rFonts w:ascii="Garamond" w:hAnsi="Garamond" w:cs="PerpetuaStd"/>
          <w:sz w:val="24"/>
          <w:szCs w:val="24"/>
        </w:rPr>
        <w:t>Real</w:t>
      </w:r>
      <w:proofErr w:type="spellEnd"/>
      <w:r w:rsidRPr="008313DF">
        <w:rPr>
          <w:rFonts w:ascii="Garamond" w:hAnsi="Garamond" w:cs="PerpetuaStd"/>
          <w:sz w:val="24"/>
          <w:szCs w:val="24"/>
        </w:rPr>
        <w:t xml:space="preserve"> </w:t>
      </w:r>
      <w:proofErr w:type="spellStart"/>
      <w:r w:rsidRPr="008313DF">
        <w:rPr>
          <w:rFonts w:ascii="Garamond" w:hAnsi="Garamond" w:cs="PerpetuaStd"/>
          <w:sz w:val="24"/>
          <w:szCs w:val="24"/>
        </w:rPr>
        <w:t>Academia</w:t>
      </w:r>
      <w:proofErr w:type="spellEnd"/>
      <w:r w:rsidRPr="008313DF">
        <w:rPr>
          <w:rFonts w:ascii="Garamond" w:hAnsi="Garamond" w:cs="PerpetuaStd"/>
          <w:sz w:val="24"/>
          <w:szCs w:val="24"/>
        </w:rPr>
        <w:t xml:space="preserve"> de </w:t>
      </w:r>
      <w:proofErr w:type="spellStart"/>
      <w:r w:rsidRPr="008313DF">
        <w:rPr>
          <w:rFonts w:ascii="Garamond" w:hAnsi="Garamond" w:cs="PerpetuaStd"/>
          <w:sz w:val="24"/>
          <w:szCs w:val="24"/>
        </w:rPr>
        <w:t>Bellas</w:t>
      </w:r>
      <w:proofErr w:type="spellEnd"/>
      <w:r w:rsidRPr="008313DF">
        <w:rPr>
          <w:rFonts w:ascii="Garamond" w:hAnsi="Garamond" w:cs="PerpetuaStd"/>
          <w:sz w:val="24"/>
          <w:szCs w:val="24"/>
        </w:rPr>
        <w:t xml:space="preserve"> </w:t>
      </w:r>
      <w:proofErr w:type="spellStart"/>
      <w:r w:rsidRPr="008313DF">
        <w:rPr>
          <w:rFonts w:ascii="Garamond" w:hAnsi="Garamond" w:cs="PerpetuaStd"/>
          <w:sz w:val="24"/>
          <w:szCs w:val="24"/>
        </w:rPr>
        <w:t>Artes</w:t>
      </w:r>
      <w:proofErr w:type="spellEnd"/>
      <w:r w:rsidRPr="008313DF">
        <w:rPr>
          <w:rFonts w:ascii="Garamond" w:hAnsi="Garamond" w:cs="PerpetuaStd"/>
          <w:sz w:val="24"/>
          <w:szCs w:val="24"/>
        </w:rPr>
        <w:t xml:space="preserve"> de San Fernando a Madrid, si aprì la mostra </w:t>
      </w:r>
      <w:r w:rsidRPr="008313DF">
        <w:rPr>
          <w:rFonts w:ascii="Garamond" w:hAnsi="Garamond" w:cs="PerpetuaStd-Italic"/>
          <w:i/>
          <w:iCs/>
          <w:sz w:val="24"/>
          <w:szCs w:val="24"/>
        </w:rPr>
        <w:t xml:space="preserve">I segni nel tempo. </w:t>
      </w:r>
      <w:proofErr w:type="spellStart"/>
      <w:r w:rsidRPr="008313DF">
        <w:rPr>
          <w:rFonts w:ascii="Garamond" w:hAnsi="Garamond" w:cs="PerpetuaStd-Italic"/>
          <w:i/>
          <w:iCs/>
          <w:sz w:val="24"/>
          <w:szCs w:val="24"/>
        </w:rPr>
        <w:t>Dibujos</w:t>
      </w:r>
      <w:proofErr w:type="spellEnd"/>
      <w:r w:rsidRPr="008313DF">
        <w:rPr>
          <w:rFonts w:ascii="Garamond" w:hAnsi="Garamond" w:cs="PerpetuaStd-Italic"/>
          <w:i/>
          <w:iCs/>
          <w:sz w:val="24"/>
          <w:szCs w:val="24"/>
        </w:rPr>
        <w:t xml:space="preserve"> </w:t>
      </w:r>
      <w:proofErr w:type="spellStart"/>
      <w:r w:rsidRPr="008313DF">
        <w:rPr>
          <w:rFonts w:ascii="Garamond" w:hAnsi="Garamond" w:cs="PerpetuaStd-Italic"/>
          <w:i/>
          <w:iCs/>
          <w:sz w:val="24"/>
          <w:szCs w:val="24"/>
        </w:rPr>
        <w:t>españoles</w:t>
      </w:r>
      <w:proofErr w:type="spellEnd"/>
      <w:r w:rsidRPr="008313DF">
        <w:rPr>
          <w:rFonts w:ascii="Garamond" w:hAnsi="Garamond" w:cs="PerpetuaStd-Italic"/>
          <w:i/>
          <w:iCs/>
          <w:sz w:val="24"/>
          <w:szCs w:val="24"/>
        </w:rPr>
        <w:t xml:space="preserve"> de </w:t>
      </w:r>
      <w:proofErr w:type="spellStart"/>
      <w:r w:rsidRPr="008313DF">
        <w:rPr>
          <w:rFonts w:ascii="Garamond" w:hAnsi="Garamond" w:cs="PerpetuaStd-Italic"/>
          <w:i/>
          <w:iCs/>
          <w:sz w:val="24"/>
          <w:szCs w:val="24"/>
        </w:rPr>
        <w:t>los</w:t>
      </w:r>
      <w:proofErr w:type="spellEnd"/>
      <w:r w:rsidRPr="008313DF">
        <w:rPr>
          <w:rFonts w:ascii="Garamond" w:hAnsi="Garamond" w:cs="PerpetuaStd-Italic"/>
          <w:i/>
          <w:iCs/>
          <w:sz w:val="24"/>
          <w:szCs w:val="24"/>
        </w:rPr>
        <w:t xml:space="preserve"> Uffizi </w:t>
      </w:r>
      <w:r w:rsidRPr="008313DF">
        <w:rPr>
          <w:rFonts w:ascii="Garamond" w:hAnsi="Garamond" w:cs="PerpetuaStd"/>
          <w:sz w:val="24"/>
          <w:szCs w:val="24"/>
        </w:rPr>
        <w:t xml:space="preserve">curata da Benito </w:t>
      </w:r>
      <w:proofErr w:type="spellStart"/>
      <w:r w:rsidRPr="008313DF">
        <w:rPr>
          <w:rFonts w:ascii="Garamond" w:hAnsi="Garamond" w:cs="PerpetuaStd"/>
          <w:sz w:val="24"/>
          <w:szCs w:val="24"/>
        </w:rPr>
        <w:t>Navarrete</w:t>
      </w:r>
      <w:proofErr w:type="spellEnd"/>
      <w:r w:rsidRPr="008313DF">
        <w:rPr>
          <w:rFonts w:ascii="Garamond" w:hAnsi="Garamond" w:cs="PerpetuaStd"/>
          <w:sz w:val="24"/>
          <w:szCs w:val="24"/>
        </w:rPr>
        <w:t xml:space="preserve"> </w:t>
      </w:r>
      <w:proofErr w:type="spellStart"/>
      <w:r w:rsidRPr="008313DF">
        <w:rPr>
          <w:rFonts w:ascii="Garamond" w:hAnsi="Garamond" w:cs="PerpetuaStd"/>
          <w:sz w:val="24"/>
          <w:szCs w:val="24"/>
        </w:rPr>
        <w:t>Prieto</w:t>
      </w:r>
      <w:proofErr w:type="spellEnd"/>
      <w:r w:rsidRPr="008313DF">
        <w:rPr>
          <w:rFonts w:ascii="Garamond" w:hAnsi="Garamond" w:cs="PerpetuaStd"/>
          <w:sz w:val="24"/>
          <w:szCs w:val="24"/>
        </w:rPr>
        <w:t xml:space="preserve"> con la collaborazione di Roberto Alonso </w:t>
      </w:r>
      <w:proofErr w:type="spellStart"/>
      <w:r w:rsidRPr="008313DF">
        <w:rPr>
          <w:rFonts w:ascii="Garamond" w:hAnsi="Garamond" w:cs="PerpetuaStd"/>
          <w:sz w:val="24"/>
          <w:szCs w:val="24"/>
        </w:rPr>
        <w:t>Moral</w:t>
      </w:r>
      <w:proofErr w:type="spellEnd"/>
      <w:r w:rsidRPr="008313DF">
        <w:rPr>
          <w:rFonts w:ascii="Garamond" w:hAnsi="Garamond" w:cs="PerpetuaStd"/>
          <w:sz w:val="24"/>
          <w:szCs w:val="24"/>
        </w:rPr>
        <w:t>. Quell’esposizione costituiva, nelle nostre intenzioni, la necessaria premessa alla presente edizione, in realtà assai diversa dalla prima per il taglio cronologico più ridotto, la varietà tipologica delle opere selezionate, la presenza di prestiti provenienti anche da altri Musei e Biblioteche, in aggiunta ai disegni del vasto e prestigioso nucleo grafico spagnolo posseduto dagli Uffizi e per la maggior parte risalente alla donazione di Emilio Santarelli (1866).</w:t>
      </w:r>
    </w:p>
    <w:p w:rsidR="004D4ED2" w:rsidRPr="008313DF" w:rsidRDefault="004D4ED2" w:rsidP="004D4ED2">
      <w:pPr>
        <w:autoSpaceDE w:val="0"/>
        <w:autoSpaceDN w:val="0"/>
        <w:adjustRightInd w:val="0"/>
        <w:spacing w:after="0" w:line="240" w:lineRule="auto"/>
        <w:jc w:val="both"/>
        <w:rPr>
          <w:rFonts w:ascii="Garamond" w:hAnsi="Garamond" w:cs="PerpetuaStd"/>
          <w:sz w:val="24"/>
          <w:szCs w:val="24"/>
        </w:rPr>
      </w:pPr>
      <w:r w:rsidRPr="008313DF">
        <w:rPr>
          <w:rFonts w:ascii="Garamond" w:hAnsi="Garamond" w:cs="PerpetuaStd"/>
          <w:sz w:val="24"/>
          <w:szCs w:val="24"/>
        </w:rPr>
        <w:t xml:space="preserve">Se la versione madrilena della mostra si poneva in linea di continuità con la “storica” esposizione tenutasi agli Uffizi nel 1972 – mi riferisco alla </w:t>
      </w:r>
      <w:r w:rsidRPr="008313DF">
        <w:rPr>
          <w:rFonts w:ascii="Garamond" w:hAnsi="Garamond" w:cs="PerpetuaStd-Italic"/>
          <w:i/>
          <w:iCs/>
          <w:sz w:val="24"/>
          <w:szCs w:val="24"/>
        </w:rPr>
        <w:t xml:space="preserve">Mostra di disegni spagnoli </w:t>
      </w:r>
      <w:r w:rsidRPr="008313DF">
        <w:rPr>
          <w:rFonts w:ascii="Garamond" w:hAnsi="Garamond" w:cs="PerpetuaStd"/>
          <w:sz w:val="24"/>
          <w:szCs w:val="24"/>
        </w:rPr>
        <w:t xml:space="preserve">curata da Alfonso E. </w:t>
      </w:r>
      <w:proofErr w:type="spellStart"/>
      <w:r w:rsidRPr="008313DF">
        <w:rPr>
          <w:rFonts w:ascii="Garamond" w:hAnsi="Garamond" w:cs="PerpetuaStd"/>
          <w:sz w:val="24"/>
          <w:szCs w:val="24"/>
        </w:rPr>
        <w:t>Pérez</w:t>
      </w:r>
      <w:proofErr w:type="spellEnd"/>
      <w:r w:rsidRPr="008313DF">
        <w:rPr>
          <w:rFonts w:ascii="Garamond" w:hAnsi="Garamond" w:cs="PerpetuaStd"/>
          <w:sz w:val="24"/>
          <w:szCs w:val="24"/>
        </w:rPr>
        <w:t xml:space="preserve"> </w:t>
      </w:r>
      <w:proofErr w:type="spellStart"/>
      <w:r w:rsidRPr="008313DF">
        <w:rPr>
          <w:rFonts w:ascii="Garamond" w:hAnsi="Garamond" w:cs="PerpetuaStd"/>
          <w:sz w:val="24"/>
          <w:szCs w:val="24"/>
        </w:rPr>
        <w:t>Sánchez</w:t>
      </w:r>
      <w:proofErr w:type="spellEnd"/>
      <w:r w:rsidRPr="008313DF">
        <w:rPr>
          <w:rFonts w:ascii="Garamond" w:hAnsi="Garamond" w:cs="PerpetuaStd"/>
          <w:sz w:val="24"/>
          <w:szCs w:val="24"/>
        </w:rPr>
        <w:t xml:space="preserve"> –, i tre curatori, Marzia </w:t>
      </w:r>
      <w:proofErr w:type="spellStart"/>
      <w:r w:rsidRPr="008313DF">
        <w:rPr>
          <w:rFonts w:ascii="Garamond" w:hAnsi="Garamond" w:cs="PerpetuaStd"/>
          <w:sz w:val="24"/>
          <w:szCs w:val="24"/>
        </w:rPr>
        <w:t>Faietti</w:t>
      </w:r>
      <w:proofErr w:type="spellEnd"/>
      <w:r w:rsidRPr="008313DF">
        <w:rPr>
          <w:rFonts w:ascii="Garamond" w:hAnsi="Garamond" w:cs="PerpetuaStd"/>
          <w:sz w:val="24"/>
          <w:szCs w:val="24"/>
        </w:rPr>
        <w:t xml:space="preserve">, Corinna T. </w:t>
      </w:r>
      <w:proofErr w:type="spellStart"/>
      <w:r w:rsidRPr="008313DF">
        <w:rPr>
          <w:rFonts w:ascii="Garamond" w:hAnsi="Garamond" w:cs="PerpetuaStd"/>
          <w:sz w:val="24"/>
          <w:szCs w:val="24"/>
        </w:rPr>
        <w:t>Gallori</w:t>
      </w:r>
      <w:proofErr w:type="spellEnd"/>
      <w:r w:rsidRPr="008313DF">
        <w:rPr>
          <w:rFonts w:ascii="Garamond" w:hAnsi="Garamond" w:cs="PerpetuaStd"/>
          <w:sz w:val="24"/>
          <w:szCs w:val="24"/>
        </w:rPr>
        <w:t xml:space="preserve"> e Tommaso Mozzati, si propongono oggi obiettivi diversi. Infatti, la redazione odierna intende piuttosto mettere a fuoco alcuni concetti e questioni ancora problematici o meritevoli di approfondimento, che caratterizzano il dialogo fra le tradizioni artistiche spagnola e italiana, così da evidenziarne contatti e rapporti, prestiti e scambi nel periodo di piena maturazione dell’Epoca moderna.</w:t>
      </w:r>
    </w:p>
    <w:p w:rsidR="004D4ED2" w:rsidRPr="008313DF" w:rsidRDefault="004D4ED2" w:rsidP="004D4ED2">
      <w:pPr>
        <w:autoSpaceDE w:val="0"/>
        <w:autoSpaceDN w:val="0"/>
        <w:adjustRightInd w:val="0"/>
        <w:spacing w:after="0" w:line="240" w:lineRule="auto"/>
        <w:jc w:val="both"/>
        <w:rPr>
          <w:rFonts w:ascii="Garamond" w:hAnsi="Garamond" w:cs="PerpetuaStd"/>
          <w:sz w:val="24"/>
          <w:szCs w:val="24"/>
        </w:rPr>
      </w:pPr>
      <w:r w:rsidRPr="008313DF">
        <w:rPr>
          <w:rFonts w:ascii="Garamond" w:hAnsi="Garamond" w:cs="PerpetuaStd"/>
          <w:sz w:val="24"/>
          <w:szCs w:val="24"/>
        </w:rPr>
        <w:t xml:space="preserve">A partire dal Quattrocento la Spagna aveva iniziato quel processo di unificazione che l’avrebbe condotta a diventare una monarchia, e poi un impero a dimensione planetaria, che comprendeva culture anche molto diverse tra loro. Proprio attorno al XVI secolo le tendenze politiche e intellettuali dei regni spagnoli e dei territori italiani andarono avvicinandosi, con la conseguenza di continue e inattese sovrapposizioni: dal pontificato di papa Alessandro </w:t>
      </w:r>
      <w:proofErr w:type="spellStart"/>
      <w:r w:rsidRPr="008313DF">
        <w:rPr>
          <w:rFonts w:ascii="Garamond" w:hAnsi="Garamond" w:cs="PerpetuaStd"/>
          <w:sz w:val="24"/>
          <w:szCs w:val="24"/>
        </w:rPr>
        <w:t>VI</w:t>
      </w:r>
      <w:proofErr w:type="spellEnd"/>
      <w:r w:rsidRPr="008313DF">
        <w:rPr>
          <w:rFonts w:ascii="Garamond" w:hAnsi="Garamond" w:cs="PerpetuaStd"/>
          <w:sz w:val="24"/>
          <w:szCs w:val="24"/>
        </w:rPr>
        <w:t xml:space="preserve"> Borgia alla conquista dei domini napoletani; dall’annessione del ducato di Milano all’affermazione di una stabile influenza politica sulla penisola italiana. Coerentemente, una simile situazione portò anche a più stretti e continuativi legami in ambito culturale, favoriti inoltre dalle rotte commerciali che connettevano le diverse sponde del Mediterraneo.</w:t>
      </w:r>
    </w:p>
    <w:p w:rsidR="004D4ED2" w:rsidRPr="008313DF" w:rsidRDefault="004D4ED2" w:rsidP="004D4ED2">
      <w:pPr>
        <w:autoSpaceDE w:val="0"/>
        <w:autoSpaceDN w:val="0"/>
        <w:adjustRightInd w:val="0"/>
        <w:spacing w:after="0" w:line="240" w:lineRule="auto"/>
        <w:jc w:val="both"/>
        <w:rPr>
          <w:rFonts w:ascii="Garamond" w:hAnsi="Garamond" w:cs="PerpetuaStd"/>
          <w:sz w:val="24"/>
          <w:szCs w:val="24"/>
        </w:rPr>
      </w:pPr>
      <w:r w:rsidRPr="008313DF">
        <w:rPr>
          <w:rFonts w:ascii="Garamond" w:hAnsi="Garamond" w:cs="PerpetuaStd"/>
          <w:sz w:val="24"/>
          <w:szCs w:val="24"/>
        </w:rPr>
        <w:t xml:space="preserve">La mostra si articola in otto sezioni, concepite per evocare quella cornice storica e a loro volta introdotte da una premessa sullo sviluppo dell’arte spagnola nel suo contesto continentale, in un arco che partendo dall’inizio del Cinquecento, in epoca precedente all’insediamento sul trono di Castiglia e di Aragona della dinastia asburgica, giunge fino all’età di Filippo II. La prima sezione riguarda la produzione dei pittori o scultori educatisi in Italia fra gli anni Dieci e Trenta, da Alonso </w:t>
      </w:r>
      <w:proofErr w:type="spellStart"/>
      <w:r w:rsidRPr="008313DF">
        <w:rPr>
          <w:rFonts w:ascii="Garamond" w:hAnsi="Garamond" w:cs="PerpetuaStd"/>
          <w:sz w:val="24"/>
          <w:szCs w:val="24"/>
        </w:rPr>
        <w:t>Berruguete</w:t>
      </w:r>
      <w:proofErr w:type="spellEnd"/>
      <w:r w:rsidRPr="008313DF">
        <w:rPr>
          <w:rFonts w:ascii="Garamond" w:hAnsi="Garamond" w:cs="PerpetuaStd"/>
          <w:sz w:val="24"/>
          <w:szCs w:val="24"/>
        </w:rPr>
        <w:t xml:space="preserve"> a </w:t>
      </w:r>
      <w:proofErr w:type="spellStart"/>
      <w:r w:rsidRPr="008313DF">
        <w:rPr>
          <w:rFonts w:ascii="Garamond" w:hAnsi="Garamond" w:cs="PerpetuaStd"/>
          <w:sz w:val="24"/>
          <w:szCs w:val="24"/>
        </w:rPr>
        <w:t>Bartolomé</w:t>
      </w:r>
      <w:proofErr w:type="spellEnd"/>
      <w:r w:rsidRPr="008313DF">
        <w:rPr>
          <w:rFonts w:ascii="Garamond" w:hAnsi="Garamond" w:cs="PerpetuaStd"/>
          <w:sz w:val="24"/>
          <w:szCs w:val="24"/>
        </w:rPr>
        <w:t xml:space="preserve"> </w:t>
      </w:r>
      <w:proofErr w:type="spellStart"/>
      <w:r w:rsidRPr="008313DF">
        <w:rPr>
          <w:rFonts w:ascii="Garamond" w:hAnsi="Garamond" w:cs="PerpetuaStd"/>
          <w:sz w:val="24"/>
          <w:szCs w:val="24"/>
        </w:rPr>
        <w:t>Ordóñez</w:t>
      </w:r>
      <w:proofErr w:type="spellEnd"/>
      <w:r w:rsidRPr="008313DF">
        <w:rPr>
          <w:rFonts w:ascii="Garamond" w:hAnsi="Garamond" w:cs="PerpetuaStd"/>
          <w:sz w:val="24"/>
          <w:szCs w:val="24"/>
        </w:rPr>
        <w:t xml:space="preserve">, fino a </w:t>
      </w:r>
      <w:proofErr w:type="spellStart"/>
      <w:r w:rsidRPr="008313DF">
        <w:rPr>
          <w:rFonts w:ascii="Garamond" w:hAnsi="Garamond" w:cs="PerpetuaStd"/>
          <w:sz w:val="24"/>
          <w:szCs w:val="24"/>
        </w:rPr>
        <w:t>Gaspar</w:t>
      </w:r>
      <w:proofErr w:type="spellEnd"/>
      <w:r w:rsidRPr="008313DF">
        <w:rPr>
          <w:rFonts w:ascii="Garamond" w:hAnsi="Garamond" w:cs="PerpetuaStd"/>
          <w:sz w:val="24"/>
          <w:szCs w:val="24"/>
        </w:rPr>
        <w:t xml:space="preserve"> </w:t>
      </w:r>
      <w:proofErr w:type="spellStart"/>
      <w:r w:rsidRPr="008313DF">
        <w:rPr>
          <w:rFonts w:ascii="Garamond" w:hAnsi="Garamond" w:cs="PerpetuaStd"/>
          <w:sz w:val="24"/>
          <w:szCs w:val="24"/>
        </w:rPr>
        <w:t>Becerra</w:t>
      </w:r>
      <w:proofErr w:type="spellEnd"/>
      <w:r w:rsidRPr="008313DF">
        <w:rPr>
          <w:rFonts w:ascii="Garamond" w:hAnsi="Garamond" w:cs="PerpetuaStd"/>
          <w:sz w:val="24"/>
          <w:szCs w:val="24"/>
        </w:rPr>
        <w:t xml:space="preserve">; una simile galleria di opere conduce, nella seconda sezione, a dibattere sul problema della composizione della figura e della rappresentazione del nudo messa a punto nei cataloghi di quegli artisti attraverso il confronto con l’arte e la trattatistica italiana. La terza sezione vuole invece ricordare l’importanza della pittura tosco-romana per le realizzazioni artistiche spagnole attorno agli anni Quaranta e Cinquanta, grazie a opere di Luis de </w:t>
      </w:r>
      <w:proofErr w:type="spellStart"/>
      <w:r w:rsidRPr="008313DF">
        <w:rPr>
          <w:rFonts w:ascii="Garamond" w:hAnsi="Garamond" w:cs="PerpetuaStd"/>
          <w:sz w:val="24"/>
          <w:szCs w:val="24"/>
        </w:rPr>
        <w:t>Vargas</w:t>
      </w:r>
      <w:proofErr w:type="spellEnd"/>
      <w:r w:rsidRPr="008313DF">
        <w:rPr>
          <w:rFonts w:ascii="Garamond" w:hAnsi="Garamond" w:cs="PerpetuaStd"/>
          <w:sz w:val="24"/>
          <w:szCs w:val="24"/>
        </w:rPr>
        <w:t xml:space="preserve"> e Luis de </w:t>
      </w:r>
      <w:proofErr w:type="spellStart"/>
      <w:r w:rsidRPr="008313DF">
        <w:rPr>
          <w:rFonts w:ascii="Garamond" w:hAnsi="Garamond" w:cs="PerpetuaStd"/>
          <w:sz w:val="24"/>
          <w:szCs w:val="24"/>
        </w:rPr>
        <w:t>Morales</w:t>
      </w:r>
      <w:proofErr w:type="spellEnd"/>
      <w:r w:rsidRPr="008313DF">
        <w:rPr>
          <w:rFonts w:ascii="Garamond" w:hAnsi="Garamond" w:cs="PerpetuaStd"/>
          <w:sz w:val="24"/>
          <w:szCs w:val="24"/>
        </w:rPr>
        <w:t xml:space="preserve"> accostate a fogli attribuiti a Sebastiano del Piombo e di Giorgio Vasari. La quarta si concentra invece sugli spostamenti degli artisti (tra cui spicca il caso emblematico di </w:t>
      </w:r>
      <w:proofErr w:type="spellStart"/>
      <w:r w:rsidRPr="008313DF">
        <w:rPr>
          <w:rFonts w:ascii="Garamond" w:hAnsi="Garamond" w:cs="PerpetuaStd"/>
          <w:sz w:val="24"/>
          <w:szCs w:val="24"/>
        </w:rPr>
        <w:t>El</w:t>
      </w:r>
      <w:proofErr w:type="spellEnd"/>
      <w:r w:rsidRPr="008313DF">
        <w:rPr>
          <w:rFonts w:ascii="Garamond" w:hAnsi="Garamond" w:cs="PerpetuaStd"/>
          <w:sz w:val="24"/>
          <w:szCs w:val="24"/>
        </w:rPr>
        <w:t xml:space="preserve"> Greco) in direzione opposta, dall’Italia alla Spagna, e sul passaggio dinastico fra Carlo V e Filippo II, quest’ultimo responsabile di un</w:t>
      </w:r>
    </w:p>
    <w:p w:rsidR="004D4ED2" w:rsidRPr="008313DF" w:rsidRDefault="004D4ED2" w:rsidP="004D4ED2">
      <w:pPr>
        <w:autoSpaceDE w:val="0"/>
        <w:autoSpaceDN w:val="0"/>
        <w:adjustRightInd w:val="0"/>
        <w:spacing w:after="0" w:line="240" w:lineRule="auto"/>
        <w:jc w:val="both"/>
        <w:rPr>
          <w:rFonts w:ascii="Garamond" w:hAnsi="Garamond" w:cs="PerpetuaStd"/>
          <w:sz w:val="24"/>
          <w:szCs w:val="24"/>
        </w:rPr>
      </w:pPr>
      <w:r w:rsidRPr="008313DF">
        <w:rPr>
          <w:rFonts w:ascii="Garamond" w:hAnsi="Garamond" w:cs="PerpetuaStd"/>
          <w:sz w:val="24"/>
          <w:szCs w:val="24"/>
        </w:rPr>
        <w:t>radicale ripensamento nelle dinamiche di committenza della Corona. Da qui si sviluppa, nelle</w:t>
      </w:r>
      <w:r w:rsidR="00B43FC8" w:rsidRPr="008313DF">
        <w:rPr>
          <w:rFonts w:ascii="Garamond" w:hAnsi="Garamond" w:cs="PerpetuaStd"/>
          <w:sz w:val="24"/>
          <w:szCs w:val="24"/>
        </w:rPr>
        <w:t xml:space="preserve"> </w:t>
      </w:r>
      <w:r w:rsidRPr="008313DF">
        <w:rPr>
          <w:rFonts w:ascii="Garamond" w:hAnsi="Garamond" w:cs="PerpetuaStd"/>
          <w:sz w:val="24"/>
          <w:szCs w:val="24"/>
        </w:rPr>
        <w:t>due sezioni successive, un percorso espositivo mirato sui disegni italiani legati alla decorazione</w:t>
      </w:r>
      <w:r w:rsidR="00B43FC8" w:rsidRPr="008313DF">
        <w:rPr>
          <w:rFonts w:ascii="Garamond" w:hAnsi="Garamond" w:cs="PerpetuaStd"/>
          <w:sz w:val="24"/>
          <w:szCs w:val="24"/>
        </w:rPr>
        <w:t xml:space="preserve"> </w:t>
      </w:r>
      <w:r w:rsidRPr="008313DF">
        <w:rPr>
          <w:rFonts w:ascii="Garamond" w:hAnsi="Garamond" w:cs="PerpetuaStd"/>
          <w:sz w:val="24"/>
          <w:szCs w:val="24"/>
        </w:rPr>
        <w:t>della chiesa e monastero di San Lorenzo dell’</w:t>
      </w:r>
      <w:proofErr w:type="spellStart"/>
      <w:r w:rsidRPr="008313DF">
        <w:rPr>
          <w:rFonts w:ascii="Garamond" w:hAnsi="Garamond" w:cs="PerpetuaStd"/>
          <w:sz w:val="24"/>
          <w:szCs w:val="24"/>
        </w:rPr>
        <w:t>Escorial</w:t>
      </w:r>
      <w:proofErr w:type="spellEnd"/>
      <w:r w:rsidRPr="008313DF">
        <w:rPr>
          <w:rFonts w:ascii="Garamond" w:hAnsi="Garamond" w:cs="PerpetuaStd"/>
          <w:sz w:val="24"/>
          <w:szCs w:val="24"/>
        </w:rPr>
        <w:t xml:space="preserve"> e una riflessione sull’uso delle arti grafiche</w:t>
      </w:r>
      <w:r w:rsidR="00B43FC8" w:rsidRPr="008313DF">
        <w:rPr>
          <w:rFonts w:ascii="Garamond" w:hAnsi="Garamond" w:cs="PerpetuaStd"/>
          <w:sz w:val="24"/>
          <w:szCs w:val="24"/>
        </w:rPr>
        <w:t xml:space="preserve"> </w:t>
      </w:r>
      <w:r w:rsidRPr="008313DF">
        <w:rPr>
          <w:rFonts w:ascii="Garamond" w:hAnsi="Garamond" w:cs="PerpetuaStd"/>
          <w:sz w:val="24"/>
          <w:szCs w:val="24"/>
        </w:rPr>
        <w:t>da parte di Filippo II per controllare e promuovere tale importantissimo cantiere. La</w:t>
      </w:r>
      <w:r w:rsidR="00B43FC8" w:rsidRPr="008313DF">
        <w:rPr>
          <w:rFonts w:ascii="Garamond" w:hAnsi="Garamond" w:cs="PerpetuaStd"/>
          <w:sz w:val="24"/>
          <w:szCs w:val="24"/>
        </w:rPr>
        <w:t xml:space="preserve"> </w:t>
      </w:r>
      <w:r w:rsidRPr="008313DF">
        <w:rPr>
          <w:rFonts w:ascii="Garamond" w:hAnsi="Garamond" w:cs="PerpetuaStd"/>
          <w:sz w:val="24"/>
          <w:szCs w:val="24"/>
        </w:rPr>
        <w:t>settima sezione indaga la presenza degli artisti italiani “</w:t>
      </w:r>
      <w:proofErr w:type="spellStart"/>
      <w:r w:rsidRPr="008313DF">
        <w:rPr>
          <w:rFonts w:ascii="Garamond" w:hAnsi="Garamond" w:cs="PerpetuaStd"/>
          <w:sz w:val="24"/>
          <w:szCs w:val="24"/>
        </w:rPr>
        <w:t>escorialensi</w:t>
      </w:r>
      <w:proofErr w:type="spellEnd"/>
      <w:r w:rsidRPr="008313DF">
        <w:rPr>
          <w:rFonts w:ascii="Garamond" w:hAnsi="Garamond" w:cs="PerpetuaStd"/>
          <w:sz w:val="24"/>
          <w:szCs w:val="24"/>
        </w:rPr>
        <w:t>” e introduce alla grafica di</w:t>
      </w:r>
      <w:r w:rsidR="00B43FC8" w:rsidRPr="008313DF">
        <w:rPr>
          <w:rFonts w:ascii="Garamond" w:hAnsi="Garamond" w:cs="PerpetuaStd"/>
          <w:sz w:val="24"/>
          <w:szCs w:val="24"/>
        </w:rPr>
        <w:t xml:space="preserve"> </w:t>
      </w:r>
      <w:r w:rsidRPr="008313DF">
        <w:rPr>
          <w:rFonts w:ascii="Garamond" w:hAnsi="Garamond" w:cs="PerpetuaStd"/>
          <w:sz w:val="24"/>
          <w:szCs w:val="24"/>
        </w:rPr>
        <w:t>alcuni autori spagnoli dell’ultimo trentennio del Cinquecento, mentre la sezione conclusiva</w:t>
      </w:r>
      <w:r w:rsidR="00B43FC8" w:rsidRPr="008313DF">
        <w:rPr>
          <w:rFonts w:ascii="Garamond" w:hAnsi="Garamond" w:cs="PerpetuaStd"/>
          <w:sz w:val="24"/>
          <w:szCs w:val="24"/>
        </w:rPr>
        <w:t xml:space="preserve"> </w:t>
      </w:r>
      <w:r w:rsidRPr="008313DF">
        <w:rPr>
          <w:rFonts w:ascii="Garamond" w:hAnsi="Garamond" w:cs="PerpetuaStd"/>
          <w:sz w:val="24"/>
          <w:szCs w:val="24"/>
        </w:rPr>
        <w:t>è dedicata ai membri di due famiglie, i fratelli Carducci (</w:t>
      </w:r>
      <w:proofErr w:type="spellStart"/>
      <w:r w:rsidRPr="008313DF">
        <w:rPr>
          <w:rFonts w:ascii="Garamond" w:hAnsi="Garamond" w:cs="PerpetuaStd"/>
          <w:sz w:val="24"/>
          <w:szCs w:val="24"/>
        </w:rPr>
        <w:t>Carducho</w:t>
      </w:r>
      <w:proofErr w:type="spellEnd"/>
      <w:r w:rsidRPr="008313DF">
        <w:rPr>
          <w:rFonts w:ascii="Garamond" w:hAnsi="Garamond" w:cs="PerpetuaStd"/>
          <w:sz w:val="24"/>
          <w:szCs w:val="24"/>
        </w:rPr>
        <w:t xml:space="preserve">) e i </w:t>
      </w:r>
      <w:proofErr w:type="spellStart"/>
      <w:r w:rsidRPr="008313DF">
        <w:rPr>
          <w:rFonts w:ascii="Garamond" w:hAnsi="Garamond" w:cs="PerpetuaStd"/>
          <w:sz w:val="24"/>
          <w:szCs w:val="24"/>
        </w:rPr>
        <w:t>Cascese</w:t>
      </w:r>
      <w:proofErr w:type="spellEnd"/>
      <w:r w:rsidRPr="008313DF">
        <w:rPr>
          <w:rFonts w:ascii="Garamond" w:hAnsi="Garamond" w:cs="PerpetuaStd"/>
          <w:sz w:val="24"/>
          <w:szCs w:val="24"/>
        </w:rPr>
        <w:t xml:space="preserve"> (</w:t>
      </w:r>
      <w:proofErr w:type="spellStart"/>
      <w:r w:rsidRPr="008313DF">
        <w:rPr>
          <w:rFonts w:ascii="Garamond" w:hAnsi="Garamond" w:cs="PerpetuaStd"/>
          <w:sz w:val="24"/>
          <w:szCs w:val="24"/>
        </w:rPr>
        <w:t>Cajés</w:t>
      </w:r>
      <w:proofErr w:type="spellEnd"/>
      <w:r w:rsidRPr="008313DF">
        <w:rPr>
          <w:rFonts w:ascii="Garamond" w:hAnsi="Garamond" w:cs="PerpetuaStd"/>
          <w:sz w:val="24"/>
          <w:szCs w:val="24"/>
        </w:rPr>
        <w:t>), e alla</w:t>
      </w:r>
      <w:r w:rsidR="00B43FC8" w:rsidRPr="008313DF">
        <w:rPr>
          <w:rFonts w:ascii="Garamond" w:hAnsi="Garamond" w:cs="PerpetuaStd"/>
          <w:sz w:val="24"/>
          <w:szCs w:val="24"/>
        </w:rPr>
        <w:t xml:space="preserve"> </w:t>
      </w:r>
      <w:r w:rsidRPr="008313DF">
        <w:rPr>
          <w:rFonts w:ascii="Garamond" w:hAnsi="Garamond" w:cs="PerpetuaStd"/>
          <w:sz w:val="24"/>
          <w:szCs w:val="24"/>
        </w:rPr>
        <w:t>loro eredità artistica e teorica.</w:t>
      </w:r>
    </w:p>
    <w:p w:rsidR="004D4ED2" w:rsidRPr="008313DF" w:rsidRDefault="004D4ED2" w:rsidP="004D4ED2">
      <w:pPr>
        <w:autoSpaceDE w:val="0"/>
        <w:autoSpaceDN w:val="0"/>
        <w:adjustRightInd w:val="0"/>
        <w:spacing w:after="0" w:line="240" w:lineRule="auto"/>
        <w:jc w:val="both"/>
        <w:rPr>
          <w:rFonts w:ascii="Garamond" w:hAnsi="Garamond" w:cs="PerpetuaStd"/>
          <w:sz w:val="24"/>
          <w:szCs w:val="24"/>
        </w:rPr>
      </w:pPr>
      <w:r w:rsidRPr="008313DF">
        <w:rPr>
          <w:rFonts w:ascii="Garamond" w:hAnsi="Garamond" w:cs="PerpetuaStd"/>
          <w:sz w:val="24"/>
          <w:szCs w:val="24"/>
        </w:rPr>
        <w:t xml:space="preserve">La mostra annovera, dunque, fogli di straordinaria qualità, ad esempio di Alonso </w:t>
      </w:r>
      <w:proofErr w:type="spellStart"/>
      <w:r w:rsidRPr="008313DF">
        <w:rPr>
          <w:rFonts w:ascii="Garamond" w:hAnsi="Garamond" w:cs="PerpetuaStd"/>
          <w:sz w:val="24"/>
          <w:szCs w:val="24"/>
        </w:rPr>
        <w:t>Berruguete</w:t>
      </w:r>
      <w:proofErr w:type="spellEnd"/>
      <w:r w:rsidR="008313DF" w:rsidRPr="008313DF">
        <w:rPr>
          <w:rFonts w:ascii="Garamond" w:hAnsi="Garamond" w:cs="PerpetuaStd"/>
          <w:sz w:val="24"/>
          <w:szCs w:val="24"/>
        </w:rPr>
        <w:t xml:space="preserve"> </w:t>
      </w:r>
      <w:r w:rsidRPr="008313DF">
        <w:rPr>
          <w:rFonts w:ascii="Garamond" w:hAnsi="Garamond" w:cs="PerpetuaStd"/>
          <w:sz w:val="24"/>
          <w:szCs w:val="24"/>
        </w:rPr>
        <w:t>(fra i primi testimoni di un linguaggio “rinascimentale” a ovest dei Pirenei, alimentato da lunghi</w:t>
      </w:r>
      <w:r w:rsidR="008313DF" w:rsidRPr="008313DF">
        <w:rPr>
          <w:rFonts w:ascii="Garamond" w:hAnsi="Garamond" w:cs="PerpetuaStd"/>
          <w:sz w:val="24"/>
          <w:szCs w:val="24"/>
        </w:rPr>
        <w:t xml:space="preserve"> </w:t>
      </w:r>
      <w:r w:rsidRPr="008313DF">
        <w:rPr>
          <w:rFonts w:ascii="Garamond" w:hAnsi="Garamond" w:cs="PerpetuaStd"/>
          <w:sz w:val="24"/>
          <w:szCs w:val="24"/>
        </w:rPr>
        <w:t xml:space="preserve">periodi di formazione fra Firenze e Roma), di Romolo </w:t>
      </w:r>
      <w:proofErr w:type="spellStart"/>
      <w:r w:rsidRPr="008313DF">
        <w:rPr>
          <w:rFonts w:ascii="Garamond" w:hAnsi="Garamond" w:cs="PerpetuaStd"/>
          <w:sz w:val="24"/>
          <w:szCs w:val="24"/>
        </w:rPr>
        <w:t>Cincinnato</w:t>
      </w:r>
      <w:proofErr w:type="spellEnd"/>
      <w:r w:rsidRPr="008313DF">
        <w:rPr>
          <w:rFonts w:ascii="Garamond" w:hAnsi="Garamond" w:cs="PerpetuaStd"/>
          <w:sz w:val="24"/>
          <w:szCs w:val="24"/>
        </w:rPr>
        <w:t xml:space="preserve"> e </w:t>
      </w:r>
      <w:proofErr w:type="spellStart"/>
      <w:r w:rsidRPr="008313DF">
        <w:rPr>
          <w:rFonts w:ascii="Garamond" w:hAnsi="Garamond" w:cs="PerpetuaStd"/>
          <w:sz w:val="24"/>
          <w:szCs w:val="24"/>
        </w:rPr>
        <w:t>Pompeo</w:t>
      </w:r>
      <w:proofErr w:type="spellEnd"/>
      <w:r w:rsidRPr="008313DF">
        <w:rPr>
          <w:rFonts w:ascii="Garamond" w:hAnsi="Garamond" w:cs="PerpetuaStd"/>
          <w:sz w:val="24"/>
          <w:szCs w:val="24"/>
        </w:rPr>
        <w:t xml:space="preserve"> Leoni (entrambi</w:t>
      </w:r>
      <w:r w:rsidR="008313DF" w:rsidRPr="008313DF">
        <w:rPr>
          <w:rFonts w:ascii="Garamond" w:hAnsi="Garamond" w:cs="PerpetuaStd"/>
          <w:sz w:val="24"/>
          <w:szCs w:val="24"/>
        </w:rPr>
        <w:t xml:space="preserve"> </w:t>
      </w:r>
      <w:r w:rsidRPr="008313DF">
        <w:rPr>
          <w:rFonts w:ascii="Garamond" w:hAnsi="Garamond" w:cs="PerpetuaStd"/>
          <w:sz w:val="24"/>
          <w:szCs w:val="24"/>
        </w:rPr>
        <w:t>interpreti significativi di una leva di personalità chiamate dall’Italia a lavorare in Spagna nei</w:t>
      </w:r>
      <w:r w:rsidR="008313DF" w:rsidRPr="008313DF">
        <w:rPr>
          <w:rFonts w:ascii="Garamond" w:hAnsi="Garamond" w:cs="PerpetuaStd"/>
          <w:sz w:val="24"/>
          <w:szCs w:val="24"/>
        </w:rPr>
        <w:t xml:space="preserve"> </w:t>
      </w:r>
      <w:r w:rsidRPr="008313DF">
        <w:rPr>
          <w:rFonts w:ascii="Garamond" w:hAnsi="Garamond" w:cs="PerpetuaStd"/>
          <w:sz w:val="24"/>
          <w:szCs w:val="24"/>
        </w:rPr>
        <w:t xml:space="preserve">più prestigiosi cantieri </w:t>
      </w:r>
      <w:r w:rsidRPr="008313DF">
        <w:rPr>
          <w:rFonts w:ascii="Garamond" w:hAnsi="Garamond" w:cs="PerpetuaStd"/>
          <w:sz w:val="24"/>
          <w:szCs w:val="24"/>
        </w:rPr>
        <w:lastRenderedPageBreak/>
        <w:t>reali), fino a includere disegni di protagonisti della stagione che chiude</w:t>
      </w:r>
      <w:r w:rsidR="008313DF" w:rsidRPr="008313DF">
        <w:rPr>
          <w:rFonts w:ascii="Garamond" w:hAnsi="Garamond" w:cs="PerpetuaStd"/>
          <w:sz w:val="24"/>
          <w:szCs w:val="24"/>
        </w:rPr>
        <w:t xml:space="preserve"> </w:t>
      </w:r>
      <w:r w:rsidRPr="008313DF">
        <w:rPr>
          <w:rFonts w:ascii="Garamond" w:hAnsi="Garamond" w:cs="PerpetuaStd"/>
          <w:sz w:val="24"/>
          <w:szCs w:val="24"/>
        </w:rPr>
        <w:t xml:space="preserve">il Cinquecento in Spagna, quali Francisco </w:t>
      </w:r>
      <w:proofErr w:type="spellStart"/>
      <w:r w:rsidRPr="008313DF">
        <w:rPr>
          <w:rFonts w:ascii="Garamond" w:hAnsi="Garamond" w:cs="PerpetuaStd"/>
          <w:sz w:val="24"/>
          <w:szCs w:val="24"/>
        </w:rPr>
        <w:t>Pacheco</w:t>
      </w:r>
      <w:proofErr w:type="spellEnd"/>
      <w:r w:rsidRPr="008313DF">
        <w:rPr>
          <w:rFonts w:ascii="Garamond" w:hAnsi="Garamond" w:cs="PerpetuaStd"/>
          <w:sz w:val="24"/>
          <w:szCs w:val="24"/>
        </w:rPr>
        <w:t xml:space="preserve">, </w:t>
      </w:r>
      <w:proofErr w:type="spellStart"/>
      <w:r w:rsidRPr="008313DF">
        <w:rPr>
          <w:rFonts w:ascii="Garamond" w:hAnsi="Garamond" w:cs="PerpetuaStd"/>
          <w:sz w:val="24"/>
          <w:szCs w:val="24"/>
        </w:rPr>
        <w:t>Patricio</w:t>
      </w:r>
      <w:proofErr w:type="spellEnd"/>
      <w:r w:rsidRPr="008313DF">
        <w:rPr>
          <w:rFonts w:ascii="Garamond" w:hAnsi="Garamond" w:cs="PerpetuaStd"/>
          <w:sz w:val="24"/>
          <w:szCs w:val="24"/>
        </w:rPr>
        <w:t xml:space="preserve"> e Eugenio </w:t>
      </w:r>
      <w:proofErr w:type="spellStart"/>
      <w:r w:rsidRPr="008313DF">
        <w:rPr>
          <w:rFonts w:ascii="Garamond" w:hAnsi="Garamond" w:cs="PerpetuaStd"/>
          <w:sz w:val="24"/>
          <w:szCs w:val="24"/>
        </w:rPr>
        <w:t>Cajés</w:t>
      </w:r>
      <w:proofErr w:type="spellEnd"/>
      <w:r w:rsidRPr="008313DF">
        <w:rPr>
          <w:rFonts w:ascii="Garamond" w:hAnsi="Garamond" w:cs="PerpetuaStd"/>
          <w:sz w:val="24"/>
          <w:szCs w:val="24"/>
        </w:rPr>
        <w:t xml:space="preserve">, </w:t>
      </w:r>
      <w:proofErr w:type="spellStart"/>
      <w:r w:rsidRPr="008313DF">
        <w:rPr>
          <w:rFonts w:ascii="Garamond" w:hAnsi="Garamond" w:cs="PerpetuaStd"/>
          <w:sz w:val="24"/>
          <w:szCs w:val="24"/>
        </w:rPr>
        <w:t>Vicente</w:t>
      </w:r>
      <w:proofErr w:type="spellEnd"/>
      <w:r w:rsidRPr="008313DF">
        <w:rPr>
          <w:rFonts w:ascii="Garamond" w:hAnsi="Garamond" w:cs="PerpetuaStd"/>
          <w:sz w:val="24"/>
          <w:szCs w:val="24"/>
        </w:rPr>
        <w:t xml:space="preserve"> </w:t>
      </w:r>
      <w:proofErr w:type="spellStart"/>
      <w:r w:rsidRPr="008313DF">
        <w:rPr>
          <w:rFonts w:ascii="Garamond" w:hAnsi="Garamond" w:cs="PerpetuaStd"/>
          <w:sz w:val="24"/>
          <w:szCs w:val="24"/>
        </w:rPr>
        <w:t>Carducho</w:t>
      </w:r>
      <w:proofErr w:type="spellEnd"/>
      <w:r w:rsidRPr="008313DF">
        <w:rPr>
          <w:rFonts w:ascii="Garamond" w:hAnsi="Garamond" w:cs="PerpetuaStd"/>
          <w:sz w:val="24"/>
          <w:szCs w:val="24"/>
        </w:rPr>
        <w:t>.</w:t>
      </w:r>
    </w:p>
    <w:p w:rsidR="004D4ED2" w:rsidRPr="008313DF" w:rsidRDefault="004D4ED2" w:rsidP="004D4ED2">
      <w:pPr>
        <w:autoSpaceDE w:val="0"/>
        <w:autoSpaceDN w:val="0"/>
        <w:adjustRightInd w:val="0"/>
        <w:spacing w:after="0" w:line="240" w:lineRule="auto"/>
        <w:jc w:val="both"/>
        <w:rPr>
          <w:rFonts w:ascii="Garamond" w:hAnsi="Garamond" w:cs="PerpetuaStd"/>
          <w:sz w:val="24"/>
          <w:szCs w:val="24"/>
        </w:rPr>
      </w:pPr>
      <w:r w:rsidRPr="008313DF">
        <w:rPr>
          <w:rFonts w:ascii="Garamond" w:hAnsi="Garamond" w:cs="PerpetuaStd"/>
          <w:sz w:val="24"/>
          <w:szCs w:val="24"/>
        </w:rPr>
        <w:t>Al fine di ricollocare le singole creazioni grafiche nel loro contesto di provenienza, si è</w:t>
      </w:r>
      <w:r w:rsidR="008313DF" w:rsidRPr="008313DF">
        <w:rPr>
          <w:rFonts w:ascii="Garamond" w:hAnsi="Garamond" w:cs="PerpetuaStd"/>
          <w:sz w:val="24"/>
          <w:szCs w:val="24"/>
        </w:rPr>
        <w:t xml:space="preserve"> </w:t>
      </w:r>
      <w:r w:rsidRPr="008313DF">
        <w:rPr>
          <w:rFonts w:ascii="Garamond" w:hAnsi="Garamond" w:cs="PerpetuaStd"/>
          <w:sz w:val="24"/>
          <w:szCs w:val="24"/>
        </w:rPr>
        <w:t>inoltre provveduto a selezionare sculture, dipinti, oreficerie e manufatti di arti applicate per</w:t>
      </w:r>
      <w:r w:rsidR="008313DF" w:rsidRPr="008313DF">
        <w:rPr>
          <w:rFonts w:ascii="Garamond" w:hAnsi="Garamond" w:cs="PerpetuaStd"/>
          <w:sz w:val="24"/>
          <w:szCs w:val="24"/>
        </w:rPr>
        <w:t xml:space="preserve"> </w:t>
      </w:r>
      <w:r w:rsidRPr="008313DF">
        <w:rPr>
          <w:rFonts w:ascii="Garamond" w:hAnsi="Garamond" w:cs="PerpetuaStd"/>
          <w:sz w:val="24"/>
          <w:szCs w:val="24"/>
        </w:rPr>
        <w:t>offrire al visitatore un’immagine più completa e multidisciplinare. Da questo punto di vista</w:t>
      </w:r>
      <w:r w:rsidR="008313DF" w:rsidRPr="008313DF">
        <w:rPr>
          <w:rFonts w:ascii="Garamond" w:hAnsi="Garamond" w:cs="PerpetuaStd"/>
          <w:sz w:val="24"/>
          <w:szCs w:val="24"/>
        </w:rPr>
        <w:t xml:space="preserve"> </w:t>
      </w:r>
      <w:r w:rsidRPr="008313DF">
        <w:rPr>
          <w:rFonts w:ascii="Garamond" w:hAnsi="Garamond" w:cs="PerpetuaStd"/>
          <w:sz w:val="24"/>
          <w:szCs w:val="24"/>
        </w:rPr>
        <w:t>la mostra si differenzia dalle diverse esposizioni sul disegno spagnolo allestite in Spagna e in</w:t>
      </w:r>
      <w:r w:rsidR="008313DF" w:rsidRPr="008313DF">
        <w:rPr>
          <w:rFonts w:ascii="Garamond" w:hAnsi="Garamond" w:cs="PerpetuaStd"/>
          <w:sz w:val="24"/>
          <w:szCs w:val="24"/>
        </w:rPr>
        <w:t xml:space="preserve"> </w:t>
      </w:r>
      <w:r w:rsidRPr="008313DF">
        <w:rPr>
          <w:rFonts w:ascii="Garamond" w:hAnsi="Garamond" w:cs="PerpetuaStd"/>
          <w:sz w:val="24"/>
          <w:szCs w:val="24"/>
        </w:rPr>
        <w:t>alcune città europee e degli Stati Uniti a partire dagli esordi del terzo Millennio, epoca che ha</w:t>
      </w:r>
      <w:r w:rsidR="008313DF" w:rsidRPr="008313DF">
        <w:rPr>
          <w:rFonts w:ascii="Garamond" w:hAnsi="Garamond" w:cs="PerpetuaStd"/>
          <w:sz w:val="24"/>
          <w:szCs w:val="24"/>
        </w:rPr>
        <w:t xml:space="preserve"> </w:t>
      </w:r>
      <w:r w:rsidRPr="008313DF">
        <w:rPr>
          <w:rFonts w:ascii="Garamond" w:hAnsi="Garamond" w:cs="PerpetuaStd"/>
          <w:sz w:val="24"/>
          <w:szCs w:val="24"/>
        </w:rPr>
        <w:t>indubbiamente registrato un crescente interesse verso il tema dopo la fioritura di studi degli</w:t>
      </w:r>
      <w:r w:rsidR="008313DF" w:rsidRPr="008313DF">
        <w:rPr>
          <w:rFonts w:ascii="Garamond" w:hAnsi="Garamond" w:cs="PerpetuaStd"/>
          <w:sz w:val="24"/>
          <w:szCs w:val="24"/>
        </w:rPr>
        <w:t xml:space="preserve"> </w:t>
      </w:r>
      <w:r w:rsidRPr="008313DF">
        <w:rPr>
          <w:rFonts w:ascii="Garamond" w:hAnsi="Garamond" w:cs="PerpetuaStd"/>
          <w:sz w:val="24"/>
          <w:szCs w:val="24"/>
        </w:rPr>
        <w:t>anni Settanta del secolo scorso.</w:t>
      </w:r>
    </w:p>
    <w:p w:rsidR="004D4ED2" w:rsidRPr="008313DF" w:rsidRDefault="004D4ED2" w:rsidP="004D4ED2">
      <w:pPr>
        <w:autoSpaceDE w:val="0"/>
        <w:autoSpaceDN w:val="0"/>
        <w:adjustRightInd w:val="0"/>
        <w:spacing w:after="0" w:line="240" w:lineRule="auto"/>
        <w:jc w:val="both"/>
        <w:rPr>
          <w:rFonts w:ascii="Garamond" w:hAnsi="Garamond" w:cs="PerpetuaStd"/>
          <w:sz w:val="24"/>
          <w:szCs w:val="24"/>
        </w:rPr>
      </w:pPr>
      <w:r w:rsidRPr="008313DF">
        <w:rPr>
          <w:rFonts w:ascii="Garamond" w:hAnsi="Garamond" w:cs="PerpetuaStd"/>
          <w:sz w:val="24"/>
          <w:szCs w:val="24"/>
        </w:rPr>
        <w:t>Per taglio cronologico e prospettive di indagine questa mostra dunque si distingue, pur</w:t>
      </w:r>
      <w:r w:rsidR="008313DF" w:rsidRPr="008313DF">
        <w:rPr>
          <w:rFonts w:ascii="Garamond" w:hAnsi="Garamond" w:cs="PerpetuaStd"/>
          <w:sz w:val="24"/>
          <w:szCs w:val="24"/>
        </w:rPr>
        <w:t xml:space="preserve"> </w:t>
      </w:r>
      <w:r w:rsidRPr="008313DF">
        <w:rPr>
          <w:rFonts w:ascii="Garamond" w:hAnsi="Garamond" w:cs="PerpetuaStd"/>
          <w:sz w:val="24"/>
          <w:szCs w:val="24"/>
        </w:rPr>
        <w:t xml:space="preserve">risultando a essa complementare, da quella aperta agli Uffizi nel 2013 con il titolo </w:t>
      </w:r>
      <w:r w:rsidRPr="008313DF">
        <w:rPr>
          <w:rFonts w:ascii="Garamond" w:hAnsi="Garamond" w:cs="PerpetuaStd-Italic"/>
          <w:i/>
          <w:iCs/>
          <w:sz w:val="24"/>
          <w:szCs w:val="24"/>
        </w:rPr>
        <w:t>Norma</w:t>
      </w:r>
      <w:r w:rsidR="008313DF" w:rsidRPr="008313DF">
        <w:rPr>
          <w:rFonts w:ascii="Garamond" w:hAnsi="Garamond" w:cs="PerpetuaStd"/>
          <w:sz w:val="24"/>
          <w:szCs w:val="24"/>
        </w:rPr>
        <w:t xml:space="preserve"> </w:t>
      </w:r>
      <w:r w:rsidRPr="008313DF">
        <w:rPr>
          <w:rFonts w:ascii="Garamond" w:hAnsi="Garamond" w:cs="PerpetuaStd-Italic"/>
          <w:i/>
          <w:iCs/>
          <w:sz w:val="24"/>
          <w:szCs w:val="24"/>
        </w:rPr>
        <w:t>e capriccio. Spagnoli in Italia agli esordi della “maniera moderna”</w:t>
      </w:r>
      <w:r w:rsidRPr="008313DF">
        <w:rPr>
          <w:rFonts w:ascii="Garamond" w:hAnsi="Garamond" w:cs="PerpetuaStd"/>
          <w:sz w:val="24"/>
          <w:szCs w:val="24"/>
        </w:rPr>
        <w:t>, che Tommaso Mozzati aveva</w:t>
      </w:r>
      <w:r w:rsidR="008313DF" w:rsidRPr="008313DF">
        <w:rPr>
          <w:rFonts w:ascii="Garamond" w:hAnsi="Garamond" w:cs="PerpetuaStd"/>
          <w:sz w:val="24"/>
          <w:szCs w:val="24"/>
        </w:rPr>
        <w:t xml:space="preserve"> </w:t>
      </w:r>
      <w:r w:rsidRPr="008313DF">
        <w:rPr>
          <w:rFonts w:ascii="Garamond" w:hAnsi="Garamond" w:cs="PerpetuaStd"/>
          <w:sz w:val="24"/>
          <w:szCs w:val="24"/>
        </w:rPr>
        <w:t>curato insieme ad Antonio Natali. Quest’ultima era infatti incentrata sugli artisti spagnoli</w:t>
      </w:r>
      <w:r w:rsidR="008313DF" w:rsidRPr="008313DF">
        <w:rPr>
          <w:rFonts w:ascii="Garamond" w:hAnsi="Garamond" w:cs="PerpetuaStd"/>
          <w:sz w:val="24"/>
          <w:szCs w:val="24"/>
        </w:rPr>
        <w:t xml:space="preserve"> </w:t>
      </w:r>
      <w:r w:rsidRPr="008313DF">
        <w:rPr>
          <w:rFonts w:ascii="Garamond" w:hAnsi="Garamond" w:cs="PerpetuaStd"/>
          <w:sz w:val="24"/>
          <w:szCs w:val="24"/>
        </w:rPr>
        <w:t>che maturarono l’esperienza del viaggio in Italia agli esordi del Cinquecento, di cui veniva</w:t>
      </w:r>
      <w:r w:rsidR="008313DF" w:rsidRPr="008313DF">
        <w:rPr>
          <w:rFonts w:ascii="Garamond" w:hAnsi="Garamond" w:cs="PerpetuaStd"/>
          <w:sz w:val="24"/>
          <w:szCs w:val="24"/>
        </w:rPr>
        <w:t xml:space="preserve"> </w:t>
      </w:r>
      <w:r w:rsidRPr="008313DF">
        <w:rPr>
          <w:rFonts w:ascii="Garamond" w:hAnsi="Garamond" w:cs="PerpetuaStd"/>
          <w:sz w:val="24"/>
          <w:szCs w:val="24"/>
        </w:rPr>
        <w:t>esaminata soprattutto, anche se non esclusivamente, l’attività pittorica in un serrato confronto</w:t>
      </w:r>
      <w:r w:rsidR="008313DF" w:rsidRPr="008313DF">
        <w:rPr>
          <w:rFonts w:ascii="Garamond" w:hAnsi="Garamond" w:cs="PerpetuaStd"/>
          <w:sz w:val="24"/>
          <w:szCs w:val="24"/>
        </w:rPr>
        <w:t xml:space="preserve"> </w:t>
      </w:r>
      <w:r w:rsidRPr="008313DF">
        <w:rPr>
          <w:rFonts w:ascii="Garamond" w:hAnsi="Garamond" w:cs="PerpetuaStd"/>
          <w:sz w:val="24"/>
          <w:szCs w:val="24"/>
        </w:rPr>
        <w:t>con i loro modelli italiani.</w:t>
      </w:r>
    </w:p>
    <w:p w:rsidR="004D4ED2" w:rsidRPr="008313DF" w:rsidRDefault="004D4ED2" w:rsidP="008313DF">
      <w:pPr>
        <w:autoSpaceDE w:val="0"/>
        <w:autoSpaceDN w:val="0"/>
        <w:adjustRightInd w:val="0"/>
        <w:spacing w:after="0" w:line="240" w:lineRule="auto"/>
        <w:jc w:val="both"/>
        <w:rPr>
          <w:rFonts w:ascii="Garamond" w:hAnsi="Garamond" w:cs="PerpetuaStd"/>
          <w:sz w:val="24"/>
          <w:szCs w:val="24"/>
        </w:rPr>
      </w:pPr>
      <w:r w:rsidRPr="008313DF">
        <w:rPr>
          <w:rFonts w:ascii="Garamond" w:hAnsi="Garamond" w:cs="PerpetuaStd"/>
          <w:sz w:val="24"/>
          <w:szCs w:val="24"/>
        </w:rPr>
        <w:t>Da ultimo va rimarcato che al presente catalogo, accanto ai tre responsabili del progetto scientifico,</w:t>
      </w:r>
      <w:r w:rsidR="008313DF" w:rsidRPr="008313DF">
        <w:rPr>
          <w:rFonts w:ascii="Garamond" w:hAnsi="Garamond" w:cs="PerpetuaStd"/>
          <w:sz w:val="24"/>
          <w:szCs w:val="24"/>
        </w:rPr>
        <w:t xml:space="preserve"> </w:t>
      </w:r>
      <w:r w:rsidRPr="008313DF">
        <w:rPr>
          <w:rFonts w:ascii="Garamond" w:hAnsi="Garamond" w:cs="PerpetuaStd"/>
          <w:sz w:val="24"/>
          <w:szCs w:val="24"/>
        </w:rPr>
        <w:t>sono stati invitati a partecipare studiosi di consolidata esperienza sia nel campo del</w:t>
      </w:r>
      <w:r w:rsidR="008313DF" w:rsidRPr="008313DF">
        <w:rPr>
          <w:rFonts w:ascii="Garamond" w:hAnsi="Garamond" w:cs="PerpetuaStd"/>
          <w:sz w:val="24"/>
          <w:szCs w:val="24"/>
        </w:rPr>
        <w:t xml:space="preserve"> </w:t>
      </w:r>
      <w:r w:rsidRPr="008313DF">
        <w:rPr>
          <w:rFonts w:ascii="Garamond" w:hAnsi="Garamond" w:cs="PerpetuaStd"/>
          <w:sz w:val="24"/>
          <w:szCs w:val="24"/>
        </w:rPr>
        <w:t>disegno spagnolo, sia in relazione al cantiere monumentale dell’</w:t>
      </w:r>
      <w:proofErr w:type="spellStart"/>
      <w:r w:rsidRPr="008313DF">
        <w:rPr>
          <w:rFonts w:ascii="Garamond" w:hAnsi="Garamond" w:cs="PerpetuaStd"/>
          <w:sz w:val="24"/>
          <w:szCs w:val="24"/>
        </w:rPr>
        <w:t>Escorial</w:t>
      </w:r>
      <w:proofErr w:type="spellEnd"/>
      <w:r w:rsidRPr="008313DF">
        <w:rPr>
          <w:rFonts w:ascii="Garamond" w:hAnsi="Garamond" w:cs="PerpetuaStd"/>
          <w:sz w:val="24"/>
          <w:szCs w:val="24"/>
        </w:rPr>
        <w:t>. Li affiancano altri</w:t>
      </w:r>
      <w:r w:rsidR="008313DF" w:rsidRPr="008313DF">
        <w:rPr>
          <w:rFonts w:ascii="Garamond" w:hAnsi="Garamond" w:cs="PerpetuaStd"/>
          <w:sz w:val="24"/>
          <w:szCs w:val="24"/>
        </w:rPr>
        <w:t xml:space="preserve"> </w:t>
      </w:r>
      <w:r w:rsidRPr="008313DF">
        <w:rPr>
          <w:rFonts w:ascii="Garamond" w:hAnsi="Garamond" w:cs="PerpetuaStd"/>
          <w:sz w:val="24"/>
          <w:szCs w:val="24"/>
        </w:rPr>
        <w:t>specialisti, di giovane generazione, per assicurare quell’ibridazione tra specializzazioni e chiavi</w:t>
      </w:r>
      <w:r w:rsidR="008313DF" w:rsidRPr="008313DF">
        <w:rPr>
          <w:rFonts w:ascii="Garamond" w:hAnsi="Garamond" w:cs="PerpetuaStd"/>
          <w:sz w:val="24"/>
          <w:szCs w:val="24"/>
        </w:rPr>
        <w:t xml:space="preserve"> </w:t>
      </w:r>
      <w:r w:rsidRPr="008313DF">
        <w:rPr>
          <w:rFonts w:ascii="Garamond" w:hAnsi="Garamond" w:cs="PerpetuaStd"/>
          <w:sz w:val="24"/>
          <w:szCs w:val="24"/>
        </w:rPr>
        <w:t>di lettura diverse che l’argomento, nell’impostazione datane dai tre curatori, necessariamente</w:t>
      </w:r>
      <w:r w:rsidR="008313DF" w:rsidRPr="008313DF">
        <w:rPr>
          <w:rFonts w:ascii="Garamond" w:hAnsi="Garamond" w:cs="PerpetuaStd"/>
          <w:sz w:val="24"/>
          <w:szCs w:val="24"/>
        </w:rPr>
        <w:t xml:space="preserve"> </w:t>
      </w:r>
      <w:r w:rsidRPr="008313DF">
        <w:rPr>
          <w:rFonts w:ascii="Garamond" w:hAnsi="Garamond" w:cs="PerpetuaStd"/>
          <w:sz w:val="24"/>
          <w:szCs w:val="24"/>
        </w:rPr>
        <w:t>richiedeva.</w:t>
      </w:r>
    </w:p>
    <w:sectPr w:rsidR="004D4ED2" w:rsidRPr="008313DF" w:rsidSect="00830AF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Std-Italic">
    <w:panose1 w:val="00000000000000000000"/>
    <w:charset w:val="00"/>
    <w:family w:val="swiss"/>
    <w:notTrueType/>
    <w:pitch w:val="default"/>
    <w:sig w:usb0="00000003" w:usb1="00000000" w:usb2="00000000" w:usb3="00000000" w:csb0="00000001" w:csb1="00000000"/>
  </w:font>
  <w:font w:name="SimonciniGaramondStd">
    <w:panose1 w:val="00000000000000000000"/>
    <w:charset w:val="00"/>
    <w:family w:val="swiss"/>
    <w:notTrueType/>
    <w:pitch w:val="default"/>
    <w:sig w:usb0="00000003" w:usb1="00000000" w:usb2="00000000" w:usb3="00000000" w:csb0="00000001" w:csb1="00000000"/>
  </w:font>
  <w:font w:name="Perpetua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D4ED2"/>
    <w:rsid w:val="004D4ED2"/>
    <w:rsid w:val="00830AF4"/>
    <w:rsid w:val="008313DF"/>
    <w:rsid w:val="00B43F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0AF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982</Words>
  <Characters>5599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Opera L. F. Spa</Company>
  <LinksUpToDate>false</LinksUpToDate>
  <CharactersWithSpaces>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Becherini</dc:creator>
  <cp:keywords/>
  <dc:description/>
  <cp:lastModifiedBy>Mariella Becherini</cp:lastModifiedBy>
  <cp:revision>3</cp:revision>
  <dcterms:created xsi:type="dcterms:W3CDTF">2018-02-23T17:11:00Z</dcterms:created>
  <dcterms:modified xsi:type="dcterms:W3CDTF">2018-02-23T17:41:00Z</dcterms:modified>
</cp:coreProperties>
</file>