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B3" w:rsidRDefault="00B868B3" w:rsidP="00B868B3">
      <w:pPr>
        <w:spacing w:after="0" w:line="240" w:lineRule="auto"/>
        <w:rPr>
          <w:rFonts w:ascii="Times New Roman" w:eastAsia="Times New Roman" w:hAnsi="Times New Roman" w:cs="Times New Roman"/>
          <w:b/>
          <w:bCs/>
          <w:sz w:val="24"/>
          <w:szCs w:val="24"/>
          <w:u w:val="single"/>
          <w:lang w:eastAsia="it-IT"/>
        </w:rPr>
      </w:pPr>
      <w:r w:rsidRPr="00B868B3">
        <w:rPr>
          <w:rFonts w:ascii="Times New Roman" w:eastAsia="Times New Roman" w:hAnsi="Times New Roman" w:cs="Times New Roman"/>
          <w:b/>
          <w:bCs/>
          <w:sz w:val="24"/>
          <w:szCs w:val="24"/>
          <w:u w:val="single"/>
          <w:lang w:eastAsia="it-IT"/>
        </w:rPr>
        <w:t>Musei Civici agli Eremitani, Padova. 26 novembre 2011 - 30 gennaio 2012</w:t>
      </w:r>
    </w:p>
    <w:p w:rsidR="00B868B3" w:rsidRDefault="00B868B3" w:rsidP="00B868B3">
      <w:pPr>
        <w:spacing w:after="0" w:line="240" w:lineRule="auto"/>
        <w:rPr>
          <w:rFonts w:ascii="Times New Roman" w:eastAsia="Times New Roman" w:hAnsi="Times New Roman" w:cs="Times New Roman"/>
          <w:b/>
          <w:bCs/>
          <w:sz w:val="24"/>
          <w:szCs w:val="24"/>
          <w:u w:val="single"/>
          <w:lang w:eastAsia="it-IT"/>
        </w:rPr>
      </w:pPr>
    </w:p>
    <w:p w:rsidR="00B868B3" w:rsidRPr="00B868B3" w:rsidRDefault="00B868B3" w:rsidP="00B868B3">
      <w:pPr>
        <w:spacing w:after="0" w:line="240" w:lineRule="auto"/>
        <w:rPr>
          <w:rFonts w:ascii="Times New Roman" w:eastAsia="Times New Roman" w:hAnsi="Times New Roman" w:cs="Times New Roman"/>
          <w:sz w:val="24"/>
          <w:szCs w:val="24"/>
          <w:lang w:eastAsia="it-IT"/>
        </w:rPr>
      </w:pPr>
      <w:r w:rsidRPr="00B868B3">
        <w:rPr>
          <w:rFonts w:ascii="Times New Roman" w:eastAsia="Times New Roman" w:hAnsi="Times New Roman" w:cs="Times New Roman"/>
          <w:b/>
          <w:bCs/>
          <w:sz w:val="24"/>
          <w:szCs w:val="24"/>
          <w:lang w:eastAsia="it-IT"/>
        </w:rPr>
        <w:br/>
        <w:t xml:space="preserve">Giungono a Padova, dal grande Museo di San Pietroburgo, due capolavori del pittore olandese. Per la prima volta vengono esposte anche stampe del maestro provenienti dalle collezioni civiche e dalla Biblioteca del Seminario Vescovile di Padova. Al via la collaborazione siglata tra </w:t>
      </w:r>
      <w:proofErr w:type="spellStart"/>
      <w:r w:rsidRPr="00B868B3">
        <w:rPr>
          <w:rFonts w:ascii="Times New Roman" w:eastAsia="Times New Roman" w:hAnsi="Times New Roman" w:cs="Times New Roman"/>
          <w:b/>
          <w:bCs/>
          <w:sz w:val="24"/>
          <w:szCs w:val="24"/>
          <w:lang w:eastAsia="it-IT"/>
        </w:rPr>
        <w:t>Ermitage</w:t>
      </w:r>
      <w:proofErr w:type="spellEnd"/>
      <w:r w:rsidRPr="00B868B3">
        <w:rPr>
          <w:rFonts w:ascii="Times New Roman" w:eastAsia="Times New Roman" w:hAnsi="Times New Roman" w:cs="Times New Roman"/>
          <w:b/>
          <w:bCs/>
          <w:sz w:val="24"/>
          <w:szCs w:val="24"/>
          <w:lang w:eastAsia="it-IT"/>
        </w:rPr>
        <w:t xml:space="preserve"> e Padova, che presterà l’Eterno Padre di Giotto. </w:t>
      </w:r>
      <w:r w:rsidRPr="00B868B3">
        <w:rPr>
          <w:rFonts w:ascii="Times New Roman" w:eastAsia="Times New Roman" w:hAnsi="Times New Roman" w:cs="Times New Roman"/>
          <w:sz w:val="24"/>
          <w:szCs w:val="24"/>
          <w:lang w:eastAsia="it-IT"/>
        </w:rPr>
        <w:br/>
        <w:t>Nell’attività artistica di Rembrandt le raffigurazioni di persone anziane, rese sagge dalla vita, hanno sempre occupato un posto particolare per la loro forte connotazione spirituale, per la loro profondità psicologica ed espressiva, ma anche per la maestria con cui egli rappresentava i segni dell’età tanto da riuscire a competere con la natura stessa.</w:t>
      </w:r>
      <w:r w:rsidRPr="00B868B3">
        <w:rPr>
          <w:rFonts w:ascii="Times New Roman" w:eastAsia="Times New Roman" w:hAnsi="Times New Roman" w:cs="Times New Roman"/>
          <w:sz w:val="24"/>
          <w:szCs w:val="24"/>
          <w:lang w:eastAsia="it-IT"/>
        </w:rPr>
        <w:br/>
      </w:r>
      <w:r w:rsidRPr="00B868B3">
        <w:rPr>
          <w:rFonts w:ascii="Times New Roman" w:eastAsia="Times New Roman" w:hAnsi="Times New Roman" w:cs="Times New Roman"/>
          <w:b/>
          <w:bCs/>
          <w:sz w:val="24"/>
          <w:szCs w:val="24"/>
          <w:lang w:eastAsia="it-IT"/>
        </w:rPr>
        <w:t xml:space="preserve">Il </w:t>
      </w:r>
      <w:r w:rsidRPr="00B868B3">
        <w:rPr>
          <w:rFonts w:ascii="Times New Roman" w:eastAsia="Times New Roman" w:hAnsi="Times New Roman" w:cs="Times New Roman"/>
          <w:b/>
          <w:bCs/>
          <w:i/>
          <w:iCs/>
          <w:sz w:val="24"/>
          <w:szCs w:val="24"/>
          <w:lang w:eastAsia="it-IT"/>
        </w:rPr>
        <w:t>Ritratto di vecchia</w:t>
      </w:r>
      <w:r w:rsidRPr="00B868B3">
        <w:rPr>
          <w:rFonts w:ascii="Times New Roman" w:eastAsia="Times New Roman" w:hAnsi="Times New Roman" w:cs="Times New Roman"/>
          <w:b/>
          <w:bCs/>
          <w:sz w:val="24"/>
          <w:szCs w:val="24"/>
          <w:lang w:eastAsia="it-IT"/>
        </w:rPr>
        <w:t xml:space="preserve"> e il </w:t>
      </w:r>
      <w:r w:rsidRPr="00B868B3">
        <w:rPr>
          <w:rFonts w:ascii="Times New Roman" w:eastAsia="Times New Roman" w:hAnsi="Times New Roman" w:cs="Times New Roman"/>
          <w:b/>
          <w:bCs/>
          <w:i/>
          <w:iCs/>
          <w:sz w:val="24"/>
          <w:szCs w:val="24"/>
          <w:lang w:eastAsia="it-IT"/>
        </w:rPr>
        <w:t>Ritratto di vecchio ebreo</w:t>
      </w:r>
      <w:r w:rsidRPr="00B868B3">
        <w:rPr>
          <w:rFonts w:ascii="Times New Roman" w:eastAsia="Times New Roman" w:hAnsi="Times New Roman" w:cs="Times New Roman"/>
          <w:b/>
          <w:bCs/>
          <w:sz w:val="24"/>
          <w:szCs w:val="24"/>
          <w:lang w:eastAsia="it-IT"/>
        </w:rPr>
        <w:t xml:space="preserve"> appartengono alla schiera dei grandi capolavori dell’</w:t>
      </w:r>
      <w:proofErr w:type="spellStart"/>
      <w:r w:rsidRPr="00B868B3">
        <w:rPr>
          <w:rFonts w:ascii="Times New Roman" w:eastAsia="Times New Roman" w:hAnsi="Times New Roman" w:cs="Times New Roman"/>
          <w:b/>
          <w:bCs/>
          <w:sz w:val="24"/>
          <w:szCs w:val="24"/>
          <w:lang w:eastAsia="it-IT"/>
        </w:rPr>
        <w:t>Ermitage</w:t>
      </w:r>
      <w:proofErr w:type="spellEnd"/>
      <w:r w:rsidRPr="00B868B3">
        <w:rPr>
          <w:rFonts w:ascii="Times New Roman" w:eastAsia="Times New Roman" w:hAnsi="Times New Roman" w:cs="Times New Roman"/>
          <w:sz w:val="24"/>
          <w:szCs w:val="24"/>
          <w:lang w:eastAsia="it-IT"/>
        </w:rPr>
        <w:t xml:space="preserve"> e ricoprono un posto d’onore, insieme alle altre opere tarde, nella sorprendente sala dedicata al maestro olandese nel museo russo. </w:t>
      </w:r>
      <w:r w:rsidRPr="00B868B3">
        <w:rPr>
          <w:rFonts w:ascii="Times New Roman" w:eastAsia="Times New Roman" w:hAnsi="Times New Roman" w:cs="Times New Roman"/>
          <w:b/>
          <w:bCs/>
          <w:sz w:val="24"/>
          <w:szCs w:val="24"/>
          <w:lang w:eastAsia="it-IT"/>
        </w:rPr>
        <w:t>Ora giungono a Padova, concessi eccezionalmente dal prestigioso museo di San Pietroburgo</w:t>
      </w:r>
      <w:r w:rsidRPr="00B868B3">
        <w:rPr>
          <w:rFonts w:ascii="Times New Roman" w:eastAsia="Times New Roman" w:hAnsi="Times New Roman" w:cs="Times New Roman"/>
          <w:sz w:val="24"/>
          <w:szCs w:val="24"/>
          <w:lang w:eastAsia="it-IT"/>
        </w:rPr>
        <w:t xml:space="preserve">, segnando l’avvio di un’importante collaborazione tra la città veneta e il Museo Statale </w:t>
      </w:r>
      <w:proofErr w:type="spellStart"/>
      <w:r w:rsidRPr="00B868B3">
        <w:rPr>
          <w:rFonts w:ascii="Times New Roman" w:eastAsia="Times New Roman" w:hAnsi="Times New Roman" w:cs="Times New Roman"/>
          <w:sz w:val="24"/>
          <w:szCs w:val="24"/>
          <w:lang w:eastAsia="it-IT"/>
        </w:rPr>
        <w:t>Ermitage</w:t>
      </w:r>
      <w:proofErr w:type="spellEnd"/>
      <w:r w:rsidRPr="00B868B3">
        <w:rPr>
          <w:rFonts w:ascii="Times New Roman" w:eastAsia="Times New Roman" w:hAnsi="Times New Roman" w:cs="Times New Roman"/>
          <w:sz w:val="24"/>
          <w:szCs w:val="24"/>
          <w:lang w:eastAsia="it-IT"/>
        </w:rPr>
        <w:t xml:space="preserve"> e si potranno ammirare presso i Musei Civici agli Eremitani dal 26 novembre 2011 al 30 gennaio 2012. </w:t>
      </w:r>
      <w:r w:rsidRPr="00B868B3">
        <w:rPr>
          <w:rFonts w:ascii="Times New Roman" w:eastAsia="Times New Roman" w:hAnsi="Times New Roman" w:cs="Times New Roman"/>
          <w:sz w:val="24"/>
          <w:szCs w:val="24"/>
          <w:lang w:eastAsia="it-IT"/>
        </w:rPr>
        <w:br/>
      </w:r>
      <w:r w:rsidRPr="00B868B3">
        <w:rPr>
          <w:rFonts w:ascii="Times New Roman" w:eastAsia="Times New Roman" w:hAnsi="Times New Roman" w:cs="Times New Roman"/>
          <w:b/>
          <w:bCs/>
          <w:sz w:val="24"/>
          <w:szCs w:val="24"/>
          <w:lang w:eastAsia="it-IT"/>
        </w:rPr>
        <w:t>Due tele intensissime e toccanti, dal valore assicurativo di oltre 30 milioni di euro</w:t>
      </w:r>
      <w:r w:rsidRPr="00B868B3">
        <w:rPr>
          <w:rFonts w:ascii="Times New Roman" w:eastAsia="Times New Roman" w:hAnsi="Times New Roman" w:cs="Times New Roman"/>
          <w:sz w:val="24"/>
          <w:szCs w:val="24"/>
          <w:lang w:eastAsia="it-IT"/>
        </w:rPr>
        <w:t xml:space="preserve">, che pervennero al grande Museo sulla </w:t>
      </w:r>
      <w:proofErr w:type="spellStart"/>
      <w:r w:rsidRPr="00B868B3">
        <w:rPr>
          <w:rFonts w:ascii="Times New Roman" w:eastAsia="Times New Roman" w:hAnsi="Times New Roman" w:cs="Times New Roman"/>
          <w:sz w:val="24"/>
          <w:szCs w:val="24"/>
          <w:lang w:eastAsia="it-IT"/>
        </w:rPr>
        <w:t>Neva</w:t>
      </w:r>
      <w:proofErr w:type="spellEnd"/>
      <w:r w:rsidRPr="00B868B3">
        <w:rPr>
          <w:rFonts w:ascii="Times New Roman" w:eastAsia="Times New Roman" w:hAnsi="Times New Roman" w:cs="Times New Roman"/>
          <w:sz w:val="24"/>
          <w:szCs w:val="24"/>
          <w:lang w:eastAsia="it-IT"/>
        </w:rPr>
        <w:t xml:space="preserve"> per volere di Caterina II nel 1781, insieme a tanti altri capolavori della prestigiosa collezione del conte </w:t>
      </w:r>
      <w:proofErr w:type="spellStart"/>
      <w:r w:rsidRPr="00B868B3">
        <w:rPr>
          <w:rFonts w:ascii="Times New Roman" w:eastAsia="Times New Roman" w:hAnsi="Times New Roman" w:cs="Times New Roman"/>
          <w:b/>
          <w:bCs/>
          <w:sz w:val="24"/>
          <w:szCs w:val="24"/>
          <w:lang w:eastAsia="it-IT"/>
        </w:rPr>
        <w:t>Silvain-Raphaël</w:t>
      </w:r>
      <w:proofErr w:type="spellEnd"/>
      <w:r w:rsidRPr="00B868B3">
        <w:rPr>
          <w:rFonts w:ascii="Times New Roman" w:eastAsia="Times New Roman" w:hAnsi="Times New Roman" w:cs="Times New Roman"/>
          <w:b/>
          <w:bCs/>
          <w:sz w:val="24"/>
          <w:szCs w:val="24"/>
          <w:lang w:eastAsia="it-IT"/>
        </w:rPr>
        <w:t xml:space="preserve"> </w:t>
      </w:r>
      <w:proofErr w:type="spellStart"/>
      <w:r w:rsidRPr="00B868B3">
        <w:rPr>
          <w:rFonts w:ascii="Times New Roman" w:eastAsia="Times New Roman" w:hAnsi="Times New Roman" w:cs="Times New Roman"/>
          <w:b/>
          <w:bCs/>
          <w:sz w:val="24"/>
          <w:szCs w:val="24"/>
          <w:lang w:eastAsia="it-IT"/>
        </w:rPr>
        <w:t>Baudouin</w:t>
      </w:r>
      <w:proofErr w:type="spellEnd"/>
      <w:r w:rsidRPr="00B868B3">
        <w:rPr>
          <w:rFonts w:ascii="Times New Roman" w:eastAsia="Times New Roman" w:hAnsi="Times New Roman" w:cs="Times New Roman"/>
          <w:sz w:val="24"/>
          <w:szCs w:val="24"/>
          <w:lang w:eastAsia="it-IT"/>
        </w:rPr>
        <w:t xml:space="preserve"> (1715-1797): militare, noto nei circoli dei </w:t>
      </w:r>
      <w:proofErr w:type="spellStart"/>
      <w:r w:rsidRPr="00B868B3">
        <w:rPr>
          <w:rFonts w:ascii="Times New Roman" w:eastAsia="Times New Roman" w:hAnsi="Times New Roman" w:cs="Times New Roman"/>
          <w:sz w:val="24"/>
          <w:szCs w:val="24"/>
          <w:lang w:eastAsia="it-IT"/>
        </w:rPr>
        <w:t>curieux</w:t>
      </w:r>
      <w:proofErr w:type="spellEnd"/>
      <w:r w:rsidRPr="00B868B3">
        <w:rPr>
          <w:rFonts w:ascii="Times New Roman" w:eastAsia="Times New Roman" w:hAnsi="Times New Roman" w:cs="Times New Roman"/>
          <w:sz w:val="24"/>
          <w:szCs w:val="24"/>
          <w:lang w:eastAsia="it-IT"/>
        </w:rPr>
        <w:t xml:space="preserve"> parigini come incisore amatoriale e appassionato collezionista, la cui raccolta contava nel 1780 ben 119 opere. Fu questo l’ultimo dei favolosi acquisti della monarchia russa nel XVIII secolo.</w:t>
      </w:r>
      <w:r w:rsidRPr="00B868B3">
        <w:rPr>
          <w:rFonts w:ascii="Times New Roman" w:eastAsia="Times New Roman" w:hAnsi="Times New Roman" w:cs="Times New Roman"/>
          <w:sz w:val="24"/>
          <w:szCs w:val="24"/>
          <w:lang w:eastAsia="it-IT"/>
        </w:rPr>
        <w:br/>
        <w:t>L’esposizione dei due dipinti dell’</w:t>
      </w:r>
      <w:proofErr w:type="spellStart"/>
      <w:r w:rsidRPr="00B868B3">
        <w:rPr>
          <w:rFonts w:ascii="Times New Roman" w:eastAsia="Times New Roman" w:hAnsi="Times New Roman" w:cs="Times New Roman"/>
          <w:sz w:val="24"/>
          <w:szCs w:val="24"/>
          <w:lang w:eastAsia="it-IT"/>
        </w:rPr>
        <w:t>Ermitage</w:t>
      </w:r>
      <w:proofErr w:type="spellEnd"/>
      <w:r w:rsidRPr="00B868B3">
        <w:rPr>
          <w:rFonts w:ascii="Times New Roman" w:eastAsia="Times New Roman" w:hAnsi="Times New Roman" w:cs="Times New Roman"/>
          <w:sz w:val="24"/>
          <w:szCs w:val="24"/>
          <w:lang w:eastAsia="it-IT"/>
        </w:rPr>
        <w:t xml:space="preserve"> ha offerto inoltre </w:t>
      </w:r>
      <w:r w:rsidRPr="00B868B3">
        <w:rPr>
          <w:rFonts w:ascii="Times New Roman" w:eastAsia="Times New Roman" w:hAnsi="Times New Roman" w:cs="Times New Roman"/>
          <w:b/>
          <w:bCs/>
          <w:sz w:val="24"/>
          <w:szCs w:val="24"/>
          <w:lang w:eastAsia="it-IT"/>
        </w:rPr>
        <w:t>l’occasione per mostrare per la prima volta al pubblico anche una quarantina di stampe</w:t>
      </w:r>
      <w:r w:rsidRPr="00B868B3">
        <w:rPr>
          <w:rFonts w:ascii="Times New Roman" w:eastAsia="Times New Roman" w:hAnsi="Times New Roman" w:cs="Times New Roman"/>
          <w:sz w:val="24"/>
          <w:szCs w:val="24"/>
          <w:lang w:eastAsia="it-IT"/>
        </w:rPr>
        <w:t xml:space="preserve">, fogli originali e copie, </w:t>
      </w:r>
      <w:r w:rsidRPr="00B868B3">
        <w:rPr>
          <w:rFonts w:ascii="Times New Roman" w:eastAsia="Times New Roman" w:hAnsi="Times New Roman" w:cs="Times New Roman"/>
          <w:b/>
          <w:bCs/>
          <w:sz w:val="24"/>
          <w:szCs w:val="24"/>
          <w:lang w:eastAsia="it-IT"/>
        </w:rPr>
        <w:t>attinte dalle ricche collezioni patavine</w:t>
      </w:r>
      <w:r w:rsidRPr="00B868B3">
        <w:rPr>
          <w:rFonts w:ascii="Times New Roman" w:eastAsia="Times New Roman" w:hAnsi="Times New Roman" w:cs="Times New Roman"/>
          <w:sz w:val="24"/>
          <w:szCs w:val="24"/>
          <w:lang w:eastAsia="it-IT"/>
        </w:rPr>
        <w:t xml:space="preserve">: quelle civiche (Museo d’Arte e Museo </w:t>
      </w:r>
      <w:proofErr w:type="spellStart"/>
      <w:r w:rsidRPr="00B868B3">
        <w:rPr>
          <w:rFonts w:ascii="Times New Roman" w:eastAsia="Times New Roman" w:hAnsi="Times New Roman" w:cs="Times New Roman"/>
          <w:sz w:val="24"/>
          <w:szCs w:val="24"/>
          <w:lang w:eastAsia="it-IT"/>
        </w:rPr>
        <w:t>Bottacin</w:t>
      </w:r>
      <w:proofErr w:type="spellEnd"/>
      <w:r w:rsidRPr="00B868B3">
        <w:rPr>
          <w:rFonts w:ascii="Times New Roman" w:eastAsia="Times New Roman" w:hAnsi="Times New Roman" w:cs="Times New Roman"/>
          <w:sz w:val="24"/>
          <w:szCs w:val="24"/>
          <w:lang w:eastAsia="it-IT"/>
        </w:rPr>
        <w:t xml:space="preserve">) e quella del marchese Federico </w:t>
      </w:r>
      <w:proofErr w:type="spellStart"/>
      <w:r w:rsidRPr="00B868B3">
        <w:rPr>
          <w:rFonts w:ascii="Times New Roman" w:eastAsia="Times New Roman" w:hAnsi="Times New Roman" w:cs="Times New Roman"/>
          <w:sz w:val="24"/>
          <w:szCs w:val="24"/>
          <w:lang w:eastAsia="it-IT"/>
        </w:rPr>
        <w:t>Manfredini</w:t>
      </w:r>
      <w:proofErr w:type="spellEnd"/>
      <w:r w:rsidRPr="00B868B3">
        <w:rPr>
          <w:rFonts w:ascii="Times New Roman" w:eastAsia="Times New Roman" w:hAnsi="Times New Roman" w:cs="Times New Roman"/>
          <w:sz w:val="24"/>
          <w:szCs w:val="24"/>
          <w:lang w:eastAsia="it-IT"/>
        </w:rPr>
        <w:t xml:space="preserve"> conservata presso la Biblioteca del Seminario Vescovile. Si potranno così ammirare alcuni </w:t>
      </w:r>
      <w:r w:rsidRPr="00B868B3">
        <w:rPr>
          <w:rFonts w:ascii="Times New Roman" w:eastAsia="Times New Roman" w:hAnsi="Times New Roman" w:cs="Times New Roman"/>
          <w:b/>
          <w:bCs/>
          <w:sz w:val="24"/>
          <w:szCs w:val="24"/>
          <w:lang w:eastAsia="it-IT"/>
        </w:rPr>
        <w:t>capolavori indiscussi dell’arte incisoria di Rembrandt</w:t>
      </w:r>
      <w:r w:rsidRPr="00B868B3">
        <w:rPr>
          <w:rFonts w:ascii="Times New Roman" w:eastAsia="Times New Roman" w:hAnsi="Times New Roman" w:cs="Times New Roman"/>
          <w:sz w:val="24"/>
          <w:szCs w:val="24"/>
          <w:lang w:eastAsia="it-IT"/>
        </w:rPr>
        <w:t xml:space="preserve"> come il foglio con </w:t>
      </w:r>
      <w:r w:rsidRPr="00B868B3">
        <w:rPr>
          <w:rFonts w:ascii="Times New Roman" w:eastAsia="Times New Roman" w:hAnsi="Times New Roman" w:cs="Times New Roman"/>
          <w:i/>
          <w:iCs/>
          <w:sz w:val="24"/>
          <w:szCs w:val="24"/>
          <w:lang w:eastAsia="it-IT"/>
        </w:rPr>
        <w:t>Cristo che risana gli infermi</w:t>
      </w:r>
      <w:r w:rsidRPr="00B868B3">
        <w:rPr>
          <w:rFonts w:ascii="Times New Roman" w:eastAsia="Times New Roman" w:hAnsi="Times New Roman" w:cs="Times New Roman"/>
          <w:sz w:val="24"/>
          <w:szCs w:val="24"/>
          <w:lang w:eastAsia="it-IT"/>
        </w:rPr>
        <w:t xml:space="preserve">, meglio noto come </w:t>
      </w:r>
      <w:r w:rsidRPr="00B868B3">
        <w:rPr>
          <w:rFonts w:ascii="Times New Roman" w:eastAsia="Times New Roman" w:hAnsi="Times New Roman" w:cs="Times New Roman"/>
          <w:b/>
          <w:bCs/>
          <w:i/>
          <w:iCs/>
          <w:sz w:val="24"/>
          <w:szCs w:val="24"/>
          <w:lang w:eastAsia="it-IT"/>
        </w:rPr>
        <w:t>Stampa dei cento fiorini</w:t>
      </w:r>
      <w:r w:rsidRPr="00B868B3">
        <w:rPr>
          <w:rFonts w:ascii="Times New Roman" w:eastAsia="Times New Roman" w:hAnsi="Times New Roman" w:cs="Times New Roman"/>
          <w:b/>
          <w:bCs/>
          <w:sz w:val="24"/>
          <w:szCs w:val="24"/>
          <w:lang w:eastAsia="it-IT"/>
        </w:rPr>
        <w:t xml:space="preserve"> o il </w:t>
      </w:r>
      <w:r w:rsidRPr="00B868B3">
        <w:rPr>
          <w:rFonts w:ascii="Times New Roman" w:eastAsia="Times New Roman" w:hAnsi="Times New Roman" w:cs="Times New Roman"/>
          <w:b/>
          <w:bCs/>
          <w:i/>
          <w:iCs/>
          <w:sz w:val="24"/>
          <w:szCs w:val="24"/>
          <w:lang w:eastAsia="it-IT"/>
        </w:rPr>
        <w:t xml:space="preserve">Ritratto di Jan </w:t>
      </w:r>
      <w:proofErr w:type="spellStart"/>
      <w:r w:rsidRPr="00B868B3">
        <w:rPr>
          <w:rFonts w:ascii="Times New Roman" w:eastAsia="Times New Roman" w:hAnsi="Times New Roman" w:cs="Times New Roman"/>
          <w:b/>
          <w:bCs/>
          <w:i/>
          <w:iCs/>
          <w:sz w:val="24"/>
          <w:szCs w:val="24"/>
          <w:lang w:eastAsia="it-IT"/>
        </w:rPr>
        <w:t>Six</w:t>
      </w:r>
      <w:proofErr w:type="spellEnd"/>
      <w:r w:rsidRPr="00B868B3">
        <w:rPr>
          <w:rFonts w:ascii="Times New Roman" w:eastAsia="Times New Roman" w:hAnsi="Times New Roman" w:cs="Times New Roman"/>
          <w:sz w:val="24"/>
          <w:szCs w:val="24"/>
          <w:lang w:eastAsia="it-IT"/>
        </w:rPr>
        <w:t>.</w:t>
      </w:r>
      <w:r w:rsidRPr="00B868B3">
        <w:rPr>
          <w:rFonts w:ascii="Times New Roman" w:eastAsia="Times New Roman" w:hAnsi="Times New Roman" w:cs="Times New Roman"/>
          <w:sz w:val="24"/>
          <w:szCs w:val="24"/>
          <w:lang w:eastAsia="it-IT"/>
        </w:rPr>
        <w:br/>
        <w:t xml:space="preserve">La mostra, curata da </w:t>
      </w:r>
      <w:r w:rsidRPr="00B868B3">
        <w:rPr>
          <w:rFonts w:ascii="Times New Roman" w:eastAsia="Times New Roman" w:hAnsi="Times New Roman" w:cs="Times New Roman"/>
          <w:b/>
          <w:bCs/>
          <w:sz w:val="24"/>
          <w:szCs w:val="24"/>
          <w:lang w:eastAsia="it-IT"/>
        </w:rPr>
        <w:t xml:space="preserve">Davide </w:t>
      </w:r>
      <w:proofErr w:type="spellStart"/>
      <w:r w:rsidRPr="00B868B3">
        <w:rPr>
          <w:rFonts w:ascii="Times New Roman" w:eastAsia="Times New Roman" w:hAnsi="Times New Roman" w:cs="Times New Roman"/>
          <w:b/>
          <w:bCs/>
          <w:sz w:val="24"/>
          <w:szCs w:val="24"/>
          <w:lang w:eastAsia="it-IT"/>
        </w:rPr>
        <w:t>Banzato</w:t>
      </w:r>
      <w:proofErr w:type="spellEnd"/>
      <w:r w:rsidRPr="00B868B3">
        <w:rPr>
          <w:rFonts w:ascii="Times New Roman" w:eastAsia="Times New Roman" w:hAnsi="Times New Roman" w:cs="Times New Roman"/>
          <w:b/>
          <w:bCs/>
          <w:sz w:val="24"/>
          <w:szCs w:val="24"/>
          <w:lang w:eastAsia="it-IT"/>
        </w:rPr>
        <w:t xml:space="preserve">, Elisabetta Gastaldi, Mari </w:t>
      </w:r>
      <w:proofErr w:type="spellStart"/>
      <w:r w:rsidRPr="00B868B3">
        <w:rPr>
          <w:rFonts w:ascii="Times New Roman" w:eastAsia="Times New Roman" w:hAnsi="Times New Roman" w:cs="Times New Roman"/>
          <w:b/>
          <w:bCs/>
          <w:sz w:val="24"/>
          <w:szCs w:val="24"/>
          <w:lang w:eastAsia="it-IT"/>
        </w:rPr>
        <w:t>Pietrogiovanna</w:t>
      </w:r>
      <w:proofErr w:type="spellEnd"/>
      <w:r w:rsidRPr="00B868B3">
        <w:rPr>
          <w:rFonts w:ascii="Times New Roman" w:eastAsia="Times New Roman" w:hAnsi="Times New Roman" w:cs="Times New Roman"/>
          <w:b/>
          <w:bCs/>
          <w:sz w:val="24"/>
          <w:szCs w:val="24"/>
          <w:lang w:eastAsia="it-IT"/>
        </w:rPr>
        <w:t xml:space="preserve">, Irina </w:t>
      </w:r>
      <w:proofErr w:type="spellStart"/>
      <w:r w:rsidRPr="00B868B3">
        <w:rPr>
          <w:rFonts w:ascii="Times New Roman" w:eastAsia="Times New Roman" w:hAnsi="Times New Roman" w:cs="Times New Roman"/>
          <w:b/>
          <w:bCs/>
          <w:sz w:val="24"/>
          <w:szCs w:val="24"/>
          <w:lang w:eastAsia="it-IT"/>
        </w:rPr>
        <w:t>Sokolova</w:t>
      </w:r>
      <w:proofErr w:type="spellEnd"/>
      <w:r w:rsidRPr="00B868B3">
        <w:rPr>
          <w:rFonts w:ascii="Times New Roman" w:eastAsia="Times New Roman" w:hAnsi="Times New Roman" w:cs="Times New Roman"/>
          <w:sz w:val="24"/>
          <w:szCs w:val="24"/>
          <w:lang w:eastAsia="it-IT"/>
        </w:rPr>
        <w:t xml:space="preserve">, è promossa dal Comune di Padova, dai Musei Civici agli Eremitani, dal Museo Statale </w:t>
      </w:r>
      <w:proofErr w:type="spellStart"/>
      <w:r w:rsidRPr="00B868B3">
        <w:rPr>
          <w:rFonts w:ascii="Times New Roman" w:eastAsia="Times New Roman" w:hAnsi="Times New Roman" w:cs="Times New Roman"/>
          <w:sz w:val="24"/>
          <w:szCs w:val="24"/>
          <w:lang w:eastAsia="it-IT"/>
        </w:rPr>
        <w:t>Ermitage</w:t>
      </w:r>
      <w:proofErr w:type="spellEnd"/>
      <w:r w:rsidRPr="00B868B3">
        <w:rPr>
          <w:rFonts w:ascii="Times New Roman" w:eastAsia="Times New Roman" w:hAnsi="Times New Roman" w:cs="Times New Roman"/>
          <w:sz w:val="24"/>
          <w:szCs w:val="24"/>
          <w:lang w:eastAsia="it-IT"/>
        </w:rPr>
        <w:t xml:space="preserve">, in collaborazione con la Fondazione </w:t>
      </w:r>
      <w:proofErr w:type="spellStart"/>
      <w:r w:rsidRPr="00B868B3">
        <w:rPr>
          <w:rFonts w:ascii="Times New Roman" w:eastAsia="Times New Roman" w:hAnsi="Times New Roman" w:cs="Times New Roman"/>
          <w:sz w:val="24"/>
          <w:szCs w:val="24"/>
          <w:lang w:eastAsia="it-IT"/>
        </w:rPr>
        <w:t>Ermitage</w:t>
      </w:r>
      <w:proofErr w:type="spellEnd"/>
      <w:r w:rsidRPr="00B868B3">
        <w:rPr>
          <w:rFonts w:ascii="Times New Roman" w:eastAsia="Times New Roman" w:hAnsi="Times New Roman" w:cs="Times New Roman"/>
          <w:sz w:val="24"/>
          <w:szCs w:val="24"/>
          <w:lang w:eastAsia="it-IT"/>
        </w:rPr>
        <w:t xml:space="preserve"> Italia, con il contributo di Fischer Italia e della Fondazione Antonveneta. E’ organizzata dai Musei Civici con la collaborazione di Villaggio Globale International, mentre il catalogo è edito da </w:t>
      </w:r>
      <w:proofErr w:type="spellStart"/>
      <w:r w:rsidRPr="00B868B3">
        <w:rPr>
          <w:rFonts w:ascii="Times New Roman" w:eastAsia="Times New Roman" w:hAnsi="Times New Roman" w:cs="Times New Roman"/>
          <w:sz w:val="24"/>
          <w:szCs w:val="24"/>
          <w:lang w:eastAsia="it-IT"/>
        </w:rPr>
        <w:t>Skira</w:t>
      </w:r>
      <w:proofErr w:type="spellEnd"/>
      <w:r w:rsidRPr="00B868B3">
        <w:rPr>
          <w:rFonts w:ascii="Times New Roman" w:eastAsia="Times New Roman" w:hAnsi="Times New Roman" w:cs="Times New Roman"/>
          <w:sz w:val="24"/>
          <w:szCs w:val="24"/>
          <w:lang w:eastAsia="it-IT"/>
        </w:rPr>
        <w:t>.</w:t>
      </w:r>
      <w:r w:rsidRPr="00B868B3">
        <w:rPr>
          <w:rFonts w:ascii="Times New Roman" w:eastAsia="Times New Roman" w:hAnsi="Times New Roman" w:cs="Times New Roman"/>
          <w:sz w:val="24"/>
          <w:szCs w:val="24"/>
          <w:lang w:eastAsia="it-IT"/>
        </w:rPr>
        <w:br/>
        <w:t>Dal 26 novembre dunque l’</w:t>
      </w:r>
      <w:proofErr w:type="spellStart"/>
      <w:r w:rsidRPr="00B868B3">
        <w:rPr>
          <w:rFonts w:ascii="Times New Roman" w:eastAsia="Times New Roman" w:hAnsi="Times New Roman" w:cs="Times New Roman"/>
          <w:sz w:val="24"/>
          <w:szCs w:val="24"/>
          <w:lang w:eastAsia="it-IT"/>
        </w:rPr>
        <w:t>Ermitage</w:t>
      </w:r>
      <w:proofErr w:type="spellEnd"/>
      <w:r w:rsidRPr="00B868B3">
        <w:rPr>
          <w:rFonts w:ascii="Times New Roman" w:eastAsia="Times New Roman" w:hAnsi="Times New Roman" w:cs="Times New Roman"/>
          <w:sz w:val="24"/>
          <w:szCs w:val="24"/>
          <w:lang w:eastAsia="it-IT"/>
        </w:rPr>
        <w:t xml:space="preserve"> sarà a Padova con questo omaggio a Rembrandt, ma </w:t>
      </w:r>
      <w:r w:rsidRPr="00B868B3">
        <w:rPr>
          <w:rFonts w:ascii="Times New Roman" w:eastAsia="Times New Roman" w:hAnsi="Times New Roman" w:cs="Times New Roman"/>
          <w:b/>
          <w:bCs/>
          <w:sz w:val="24"/>
          <w:szCs w:val="24"/>
          <w:lang w:eastAsia="it-IT"/>
        </w:rPr>
        <w:t>dal 6 dicembre prossimo sarà Padova ad essere all’</w:t>
      </w:r>
      <w:proofErr w:type="spellStart"/>
      <w:r w:rsidRPr="00B868B3">
        <w:rPr>
          <w:rFonts w:ascii="Times New Roman" w:eastAsia="Times New Roman" w:hAnsi="Times New Roman" w:cs="Times New Roman"/>
          <w:b/>
          <w:bCs/>
          <w:sz w:val="24"/>
          <w:szCs w:val="24"/>
          <w:lang w:eastAsia="it-IT"/>
        </w:rPr>
        <w:t>Ermitage</w:t>
      </w:r>
      <w:proofErr w:type="spellEnd"/>
      <w:r w:rsidRPr="00B868B3">
        <w:rPr>
          <w:rFonts w:ascii="Times New Roman" w:eastAsia="Times New Roman" w:hAnsi="Times New Roman" w:cs="Times New Roman"/>
          <w:b/>
          <w:bCs/>
          <w:sz w:val="24"/>
          <w:szCs w:val="24"/>
          <w:lang w:eastAsia="it-IT"/>
        </w:rPr>
        <w:t xml:space="preserve"> con la preziosissima tavola di Giotto</w:t>
      </w:r>
      <w:r w:rsidRPr="00B868B3">
        <w:rPr>
          <w:rFonts w:ascii="Times New Roman" w:eastAsia="Times New Roman" w:hAnsi="Times New Roman" w:cs="Times New Roman"/>
          <w:sz w:val="24"/>
          <w:szCs w:val="24"/>
          <w:lang w:eastAsia="it-IT"/>
        </w:rPr>
        <w:t>, proveniente dalla cappella degli Scrovegni, dove era collocata sull’arco trionfale. Restaurata qualche anno fa, essa raffigura l’</w:t>
      </w:r>
      <w:r w:rsidRPr="00B868B3">
        <w:rPr>
          <w:rFonts w:ascii="Times New Roman" w:eastAsia="Times New Roman" w:hAnsi="Times New Roman" w:cs="Times New Roman"/>
          <w:i/>
          <w:iCs/>
          <w:sz w:val="24"/>
          <w:szCs w:val="24"/>
          <w:lang w:eastAsia="it-IT"/>
        </w:rPr>
        <w:t>Eterno Padre</w:t>
      </w:r>
      <w:r w:rsidRPr="00B868B3">
        <w:rPr>
          <w:rFonts w:ascii="Times New Roman" w:eastAsia="Times New Roman" w:hAnsi="Times New Roman" w:cs="Times New Roman"/>
          <w:sz w:val="24"/>
          <w:szCs w:val="24"/>
          <w:lang w:eastAsia="it-IT"/>
        </w:rPr>
        <w:t xml:space="preserve"> colto nell’atto di conferire all’arcangelo Gabriele la missione dell’Annunciazione. Il dipinto viene prestato come scambio e </w:t>
      </w:r>
      <w:r w:rsidRPr="00B868B3">
        <w:rPr>
          <w:rFonts w:ascii="Times New Roman" w:eastAsia="Times New Roman" w:hAnsi="Times New Roman" w:cs="Times New Roman"/>
          <w:b/>
          <w:bCs/>
          <w:sz w:val="24"/>
          <w:szCs w:val="24"/>
          <w:lang w:eastAsia="it-IT"/>
        </w:rPr>
        <w:t>suggello del protocollo d’intesa siglato con il prestigioso museo russo</w:t>
      </w:r>
      <w:r w:rsidRPr="00B868B3">
        <w:rPr>
          <w:rFonts w:ascii="Times New Roman" w:eastAsia="Times New Roman" w:hAnsi="Times New Roman" w:cs="Times New Roman"/>
          <w:sz w:val="24"/>
          <w:szCs w:val="24"/>
          <w:lang w:eastAsia="it-IT"/>
        </w:rPr>
        <w:t>. Mai prima d’ora un’opera dello straordinario autore degli affreschi della Cappella degli Scrovegni è stata esposta all’</w:t>
      </w:r>
      <w:proofErr w:type="spellStart"/>
      <w:r w:rsidRPr="00B868B3">
        <w:rPr>
          <w:rFonts w:ascii="Times New Roman" w:eastAsia="Times New Roman" w:hAnsi="Times New Roman" w:cs="Times New Roman"/>
          <w:sz w:val="24"/>
          <w:szCs w:val="24"/>
          <w:lang w:eastAsia="it-IT"/>
        </w:rPr>
        <w:t>Ermitage</w:t>
      </w:r>
      <w:proofErr w:type="spellEnd"/>
      <w:r w:rsidRPr="00B868B3">
        <w:rPr>
          <w:rFonts w:ascii="Times New Roman" w:eastAsia="Times New Roman" w:hAnsi="Times New Roman" w:cs="Times New Roman"/>
          <w:sz w:val="24"/>
          <w:szCs w:val="24"/>
          <w:lang w:eastAsia="it-IT"/>
        </w:rPr>
        <w:t xml:space="preserve">. E la scelta non è casuale, poiché è soprattutto </w:t>
      </w:r>
      <w:r w:rsidRPr="00B868B3">
        <w:rPr>
          <w:rFonts w:ascii="Times New Roman" w:eastAsia="Times New Roman" w:hAnsi="Times New Roman" w:cs="Times New Roman"/>
          <w:b/>
          <w:bCs/>
          <w:sz w:val="24"/>
          <w:szCs w:val="24"/>
          <w:lang w:eastAsia="it-IT"/>
        </w:rPr>
        <w:t>sul tema degli affreschi</w:t>
      </w:r>
      <w:r w:rsidRPr="00B868B3">
        <w:rPr>
          <w:rFonts w:ascii="Times New Roman" w:eastAsia="Times New Roman" w:hAnsi="Times New Roman" w:cs="Times New Roman"/>
          <w:sz w:val="24"/>
          <w:szCs w:val="24"/>
          <w:lang w:eastAsia="it-IT"/>
        </w:rPr>
        <w:t xml:space="preserve">, di cui Padova conserva testimonianze assai numerose, </w:t>
      </w:r>
      <w:r w:rsidRPr="00B868B3">
        <w:rPr>
          <w:rFonts w:ascii="Times New Roman" w:eastAsia="Times New Roman" w:hAnsi="Times New Roman" w:cs="Times New Roman"/>
          <w:b/>
          <w:bCs/>
          <w:sz w:val="24"/>
          <w:szCs w:val="24"/>
          <w:lang w:eastAsia="it-IT"/>
        </w:rPr>
        <w:t>che sarà centrata la collaborazione tre le istituzioni patavine e russe</w:t>
      </w:r>
      <w:r w:rsidRPr="00B868B3">
        <w:rPr>
          <w:rFonts w:ascii="Times New Roman" w:eastAsia="Times New Roman" w:hAnsi="Times New Roman" w:cs="Times New Roman"/>
          <w:sz w:val="24"/>
          <w:szCs w:val="24"/>
          <w:lang w:eastAsia="it-IT"/>
        </w:rPr>
        <w:t xml:space="preserve">: studi, ricerche, confronti, restauri e progettazione condivisa, che vedranno anche il coinvolgimento della città di </w:t>
      </w:r>
      <w:proofErr w:type="spellStart"/>
      <w:r w:rsidRPr="00B868B3">
        <w:rPr>
          <w:rFonts w:ascii="Times New Roman" w:eastAsia="Times New Roman" w:hAnsi="Times New Roman" w:cs="Times New Roman"/>
          <w:sz w:val="24"/>
          <w:szCs w:val="24"/>
          <w:lang w:eastAsia="it-IT"/>
        </w:rPr>
        <w:t>Novgorad</w:t>
      </w:r>
      <w:proofErr w:type="spellEnd"/>
      <w:r w:rsidRPr="00B868B3">
        <w:rPr>
          <w:rFonts w:ascii="Times New Roman" w:eastAsia="Times New Roman" w:hAnsi="Times New Roman" w:cs="Times New Roman"/>
          <w:sz w:val="24"/>
          <w:szCs w:val="24"/>
          <w:lang w:eastAsia="it-IT"/>
        </w:rPr>
        <w:t>, celebre appunto per le sue pitture murali.</w:t>
      </w:r>
    </w:p>
    <w:p w:rsidR="00702B40" w:rsidRDefault="00702B40"/>
    <w:sectPr w:rsidR="00702B40" w:rsidSect="00702B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B868B3"/>
    <w:rsid w:val="00702B40"/>
    <w:rsid w:val="00B868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2B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868B3"/>
    <w:rPr>
      <w:b/>
      <w:bCs/>
    </w:rPr>
  </w:style>
</w:styles>
</file>

<file path=word/webSettings.xml><?xml version="1.0" encoding="utf-8"?>
<w:webSettings xmlns:r="http://schemas.openxmlformats.org/officeDocument/2006/relationships" xmlns:w="http://schemas.openxmlformats.org/wordprocessingml/2006/main">
  <w:divs>
    <w:div w:id="14433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2011-11-22T09:31:00Z</dcterms:created>
  <dcterms:modified xsi:type="dcterms:W3CDTF">2011-11-22T09:32:00Z</dcterms:modified>
</cp:coreProperties>
</file>