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68B" w:rsidRPr="00C5768B" w:rsidRDefault="00C5768B" w:rsidP="00C5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22 Dicembre 2011 - 5 Febbraio 2012</w:t>
      </w:r>
    </w:p>
    <w:p w:rsidR="00C5768B" w:rsidRPr="00C5768B" w:rsidRDefault="00C5768B" w:rsidP="00C5768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C576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Il Gesù Bambino di </w:t>
      </w:r>
      <w:proofErr w:type="spellStart"/>
      <w:r w:rsidRPr="00C576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, due dipinti a confronto</w:t>
      </w:r>
    </w:p>
    <w:p w:rsidR="00C5768B" w:rsidRPr="00C5768B" w:rsidRDefault="00C5768B" w:rsidP="00C5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Palazzo Nuovo</w:t>
      </w:r>
    </w:p>
    <w:p w:rsidR="00C5768B" w:rsidRPr="00C5768B" w:rsidRDefault="00C5768B" w:rsidP="00C576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Tipologia: Arte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Tardoantica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Medievale</w:t>
      </w:r>
    </w:p>
    <w:p w:rsidR="00C5768B" w:rsidRPr="00C5768B" w:rsidRDefault="00C5768B" w:rsidP="00C57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in arrivo un regalo di Natale da parte di Roma Capitale alla città, grazie a due prestiti speciali della Fondazione Guglielmo Giordano e della Fondazione Sorgente Group: l’esposizione di due dipinti del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ai Musei Capitolini. </w:t>
      </w:r>
    </w:p>
    <w:p w:rsidR="00C5768B" w:rsidRPr="00C5768B" w:rsidRDefault="00C5768B" w:rsidP="00C576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Si tratta del </w:t>
      </w:r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frammento di affresco con la figura del </w:t>
      </w:r>
      <w:r w:rsidRPr="00C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Gesù Bambino benedicente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(proprietà Fondazione Guglielmo Giordano), affiancato ad una preziosa </w:t>
      </w:r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tavola raffigurante la </w:t>
      </w:r>
      <w:r w:rsidRPr="00C5768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Madonna col Bambino benedicente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(proprietà Fondazione Sorgente Group,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Istituzione per l’ Arte e la Cultura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). Due gioielli che faranno la felicità degli appassionati estimatori del delicato e sensibile pittore umbro, nato a Perugia verso il 1455-1456 e morto a Siena nel 1513.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frammento di affresco con la figura del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Gesù Bambino benedicente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è databile al 1492-1493. La sua storia particolare è stata ricostruita con precisione da Franco Ivan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Nucciarelli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Pinturicchio. Il </w:t>
      </w:r>
      <w:proofErr w:type="spellStart"/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Bambin</w:t>
      </w:r>
      <w:proofErr w:type="spellEnd"/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 Gesù delle mani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Perugia, 2007). 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tavola raffigurante la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Madonna col Bambino benedicente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sottoposta dallo Stato italiano al vincolo di importante interesse dal 1990, fu esposta per la prima volta nel 1945 in occasione della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Mostra d’Arte italiana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 Palazzo Venezia, memorabile evento organizzato subito dopo la guerra a testimonianza del concreto interesse dello Stato verso il patrimonio artistico pubblico privato, posti sullo stesso piano di dignità e tutela. Successivamente la tavola è stata esposta nel 2008 alla mostra del </w:t>
      </w:r>
      <w:proofErr w:type="spellStart"/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alla Galleria Nazionale dell’Umbria di Perugia (scheda di Francesco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Ortenzi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catalogo a cura di Vittoria Garibaldi e Francesco Federico Mancini, con datazione agli ultimi anni del Quattrocento) ed infine pubblicata nel catalogo della collezione d’arte della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Fondazione Sorgente Group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(Roma, 2010) da Gian Maria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Mairo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con datazione analoga ma anticipata al tempo della Cappella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Bufalini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frammento di affresco proviene dalla collezione Chigi dove fu collocato dopo essere stato staccato dal suo luogo di origine, il cubicolo di Alessandro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VI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nei Palazzi Vaticani, dove è probabile che lo vedesse integro il Vasari. L’affresco intero raffigurante la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 xml:space="preserve">Madonna con il Bambino davanti al pontefice Alessandro </w:t>
      </w:r>
      <w:proofErr w:type="spellStart"/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VI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fu poi distaccato e smembrato, ma se ne conosce l’aspetto originario tramite una copia del primo Seicento del pittore mantovano Pietro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Fachetti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scoperta da Incisa delle Rocchetta e poi pubblicata dal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Nucciarelli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Era opera di delicata devozione privata e l’immagine, tanto cara al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, del fanciullo benedicente è eseguita con estrema amorevolezza tale da mettere in luce il carattere lieto e estatico del grande maestro umbro.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La tavola della Fondazione Sorgente Group è tutta incentrata sul tema della benedizione. Il Bambino e la Madonna guardano verso un punto in basso, al di sotto del dipinto, dove presumibilmente poteva osservarlo il donatore o committente dell’ opera o, in alternativa, trovarsi un oggetto di venerazione particolare da tenere sotto la perenne protezione della Madre e del Figlio. Molto opportunamente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Mairo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identificato il tipo iconografico della Vergine come quello della </w:t>
      </w:r>
      <w:r w:rsidRPr="00C5768B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Stella del mare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recitato nelle Litanie della Madonna, per cui è lecito pensare a una sorta di ex voto o di quadro apotropaico legato alla figura di un navigatore. La vicinanza probabile tra questa tavola e i primi progetti del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Libreria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Piccolomini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 Duomo di Siena potrebbero far pensare addirittura a un’opera collegata con uno dei temi trattati dal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nella Libreria stessa, quello in particolare della sosta a Ancona del papa Pio II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Piccolomini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attesa di imbarcarsi per la crociata contro il Turco, scena cruciale del ciclo affrescatovi. Che l’opera sia stata concepita come destinata alla protezione addirittura del pontefice o di altri componenti della spedizione non può essere dimostrato, ma resta evidente la componente benefica dell’arte </w:t>
      </w:r>
      <w:proofErr w:type="spellStart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>pintoricchiesca</w:t>
      </w:r>
      <w:proofErr w:type="spellEnd"/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Roma Capitale ha così scelto il </w:t>
      </w:r>
      <w:proofErr w:type="spellStart"/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Pintoricchio</w:t>
      </w:r>
      <w:proofErr w:type="spellEnd"/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a rappresentare un momento di augurio e benessere spirituale per la collettività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lastRenderedPageBreak/>
        <w:t xml:space="preserve">La manifestazione è stata realizzata grazie al sostegno della </w:t>
      </w:r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Camera di Commercio di Roma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la sponsorizzazione di </w:t>
      </w:r>
      <w:r w:rsidRPr="00C5768B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ACEA</w:t>
      </w:r>
      <w:r w:rsidRPr="00C5768B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</w:p>
    <w:p w:rsidR="00305FDF" w:rsidRDefault="00305FDF"/>
    <w:sectPr w:rsidR="00305FDF" w:rsidSect="00305F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283"/>
  <w:characterSpacingControl w:val="doNotCompress"/>
  <w:compat/>
  <w:rsids>
    <w:rsidRoot w:val="00C5768B"/>
    <w:rsid w:val="00305FDF"/>
    <w:rsid w:val="00C57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F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C576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5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1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686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72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3635</Characters>
  <Application>Microsoft Office Word</Application>
  <DocSecurity>0</DocSecurity>
  <Lines>30</Lines>
  <Paragraphs>8</Paragraphs>
  <ScaleCrop>false</ScaleCrop>
  <Company/>
  <LinksUpToDate>false</LinksUpToDate>
  <CharactersWithSpaces>4264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sp2</dc:creator>
  <cp:keywords/>
  <dc:description/>
  <cp:lastModifiedBy>xp sp2</cp:lastModifiedBy>
  <cp:revision>1</cp:revision>
  <dcterms:created xsi:type="dcterms:W3CDTF">2011-12-20T09:48:00Z</dcterms:created>
  <dcterms:modified xsi:type="dcterms:W3CDTF">2011-12-20T09:49:00Z</dcterms:modified>
</cp:coreProperties>
</file>